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35786" w14:textId="5FB45094" w:rsidR="006F5C66" w:rsidRPr="00B048D7" w:rsidRDefault="006F5C66" w:rsidP="006F5C66">
      <w:pPr>
        <w:pStyle w:val="Default"/>
        <w:jc w:val="center"/>
        <w:rPr>
          <w:b/>
          <w:bCs/>
          <w:color w:val="auto"/>
          <w:sz w:val="22"/>
          <w:szCs w:val="22"/>
        </w:rPr>
      </w:pPr>
      <w:bookmarkStart w:id="0" w:name="_heading=h.gjdgxs" w:colFirst="0" w:colLast="0"/>
      <w:bookmarkEnd w:id="0"/>
      <w:r w:rsidRPr="00B048D7">
        <w:rPr>
          <w:b/>
          <w:bCs/>
          <w:color w:val="auto"/>
          <w:sz w:val="22"/>
          <w:szCs w:val="22"/>
        </w:rPr>
        <w:t>ADENDA No. 1.</w:t>
      </w:r>
      <w:r w:rsidRPr="00B048D7">
        <w:rPr>
          <w:b/>
          <w:sz w:val="22"/>
          <w:szCs w:val="22"/>
        </w:rPr>
        <w:t xml:space="preserve"> </w:t>
      </w:r>
    </w:p>
    <w:p w14:paraId="5351AF48" w14:textId="77777777" w:rsidR="006F5C66" w:rsidRPr="00B048D7" w:rsidRDefault="006F5C66" w:rsidP="006F5C66">
      <w:pPr>
        <w:pStyle w:val="Default"/>
        <w:jc w:val="center"/>
        <w:rPr>
          <w:b/>
          <w:bCs/>
          <w:color w:val="auto"/>
          <w:sz w:val="22"/>
          <w:szCs w:val="22"/>
        </w:rPr>
      </w:pPr>
    </w:p>
    <w:p w14:paraId="7FBE43E1" w14:textId="77777777" w:rsidR="006F5C66" w:rsidRPr="00B048D7" w:rsidRDefault="006F5C66" w:rsidP="006F5C66">
      <w:pPr>
        <w:pStyle w:val="Default"/>
        <w:jc w:val="center"/>
        <w:rPr>
          <w:b/>
          <w:bCs/>
          <w:color w:val="auto"/>
          <w:sz w:val="22"/>
          <w:szCs w:val="22"/>
        </w:rPr>
      </w:pPr>
    </w:p>
    <w:p w14:paraId="2B58236F" w14:textId="6E4ECA50" w:rsidR="006F5C66" w:rsidRPr="00B048D7" w:rsidRDefault="00C72B0F" w:rsidP="002A2E28">
      <w:pPr>
        <w:jc w:val="center"/>
        <w:rPr>
          <w:rFonts w:ascii="Arial" w:hAnsi="Arial" w:cs="Arial"/>
          <w:b/>
          <w:sz w:val="22"/>
          <w:szCs w:val="22"/>
          <w:lang w:val="es-CO"/>
        </w:rPr>
      </w:pPr>
      <w:r w:rsidRPr="00B048D7">
        <w:rPr>
          <w:rFonts w:ascii="Arial" w:hAnsi="Arial" w:cs="Arial"/>
          <w:b/>
          <w:sz w:val="22"/>
          <w:szCs w:val="22"/>
          <w:lang w:val="es-CO"/>
        </w:rPr>
        <w:t>Invitación a Participar en el Proceso de Contratación del Seguro de Vida Grupo Deudores y los Seguros Todo Riesgo para Vehículos Productivos, que Iris CF – Compañía de Financiamiento S.A. suscribe en nombre de sus Deudores</w:t>
      </w:r>
    </w:p>
    <w:p w14:paraId="082347AC" w14:textId="77777777" w:rsidR="002A2E28" w:rsidRPr="00B048D7" w:rsidRDefault="002A2E28" w:rsidP="002A2E28">
      <w:pPr>
        <w:jc w:val="both"/>
        <w:rPr>
          <w:rFonts w:ascii="Arial" w:hAnsi="Arial" w:cs="Arial"/>
          <w:b/>
          <w:sz w:val="22"/>
          <w:szCs w:val="22"/>
          <w:lang w:val="es-CO"/>
        </w:rPr>
      </w:pPr>
    </w:p>
    <w:p w14:paraId="6F542932" w14:textId="7A3FF8EC" w:rsidR="006F5C66" w:rsidRPr="00B048D7" w:rsidRDefault="006F5C66" w:rsidP="002A2E28">
      <w:pPr>
        <w:jc w:val="both"/>
        <w:rPr>
          <w:rFonts w:ascii="Arial" w:hAnsi="Arial" w:cs="Arial"/>
          <w:sz w:val="22"/>
          <w:szCs w:val="22"/>
          <w:lang w:val="es-CO"/>
        </w:rPr>
      </w:pPr>
      <w:r w:rsidRPr="00B048D7">
        <w:rPr>
          <w:rFonts w:ascii="Arial" w:hAnsi="Arial" w:cs="Arial"/>
          <w:sz w:val="22"/>
          <w:szCs w:val="22"/>
          <w:lang w:val="es-CO"/>
        </w:rPr>
        <w:t xml:space="preserve">De conformidad con lo establecido por </w:t>
      </w:r>
      <w:r w:rsidR="00E163D4" w:rsidRPr="00B048D7">
        <w:rPr>
          <w:rFonts w:ascii="Arial" w:hAnsi="Arial" w:cs="Arial"/>
          <w:b/>
          <w:sz w:val="22"/>
          <w:szCs w:val="22"/>
          <w:lang w:val="es-CO"/>
        </w:rPr>
        <w:t>Iris CF – Compañía de Financiamiento S.A</w:t>
      </w:r>
      <w:r w:rsidRPr="00B048D7">
        <w:rPr>
          <w:rFonts w:ascii="Arial" w:hAnsi="Arial" w:cs="Arial"/>
          <w:b/>
          <w:sz w:val="22"/>
          <w:szCs w:val="22"/>
          <w:lang w:val="es-CO"/>
        </w:rPr>
        <w:t>.</w:t>
      </w:r>
      <w:r w:rsidRPr="00B048D7">
        <w:rPr>
          <w:rFonts w:ascii="Arial" w:hAnsi="Arial" w:cs="Arial"/>
          <w:sz w:val="22"/>
          <w:szCs w:val="22"/>
          <w:lang w:val="es-CO"/>
        </w:rPr>
        <w:t xml:space="preserve">, se efectúan las modificaciones al </w:t>
      </w:r>
      <w:r w:rsidR="00C72B0F" w:rsidRPr="00B048D7">
        <w:rPr>
          <w:rFonts w:ascii="Arial" w:hAnsi="Arial" w:cs="Arial"/>
          <w:sz w:val="22"/>
          <w:szCs w:val="22"/>
          <w:lang w:val="es-CO"/>
        </w:rPr>
        <w:t>Documento</w:t>
      </w:r>
      <w:r w:rsidRPr="00B048D7">
        <w:rPr>
          <w:rFonts w:ascii="Arial" w:hAnsi="Arial" w:cs="Arial"/>
          <w:sz w:val="22"/>
          <w:szCs w:val="22"/>
          <w:lang w:val="es-CO"/>
        </w:rPr>
        <w:t xml:space="preserve"> de Condiciones que aparecen más adelante en este documento. Se advierte a los proponentes que las modificaciones introducidas sólo afectan los aspectos que se consignan en la presente adenda, por lo tanto, las materias, capítulos, anexos, requisitos y documentos que no se mencionen expresamente, permanecerán sin modificación tal y como fueron plasmados en el Pliego de Condiciones inicial.  </w:t>
      </w:r>
    </w:p>
    <w:p w14:paraId="0ABD5522" w14:textId="77777777" w:rsidR="006F5C66" w:rsidRPr="00B048D7" w:rsidRDefault="006F5C66" w:rsidP="002A2E28">
      <w:pPr>
        <w:autoSpaceDE w:val="0"/>
        <w:autoSpaceDN w:val="0"/>
        <w:adjustRightInd w:val="0"/>
        <w:jc w:val="both"/>
        <w:rPr>
          <w:rFonts w:ascii="Arial" w:hAnsi="Arial" w:cs="Arial"/>
          <w:sz w:val="22"/>
          <w:szCs w:val="22"/>
          <w:lang w:val="es-CO"/>
        </w:rPr>
      </w:pPr>
    </w:p>
    <w:p w14:paraId="1C77B778" w14:textId="77777777" w:rsidR="006F5C66" w:rsidRPr="00B048D7" w:rsidRDefault="006F5C66" w:rsidP="002A2E28">
      <w:pPr>
        <w:autoSpaceDE w:val="0"/>
        <w:autoSpaceDN w:val="0"/>
        <w:adjustRightInd w:val="0"/>
        <w:jc w:val="both"/>
        <w:rPr>
          <w:rFonts w:ascii="Arial" w:hAnsi="Arial" w:cs="Arial"/>
          <w:sz w:val="22"/>
          <w:szCs w:val="22"/>
          <w:lang w:val="es-CO"/>
        </w:rPr>
      </w:pPr>
      <w:r w:rsidRPr="00B048D7">
        <w:rPr>
          <w:rFonts w:ascii="Arial" w:hAnsi="Arial" w:cs="Arial"/>
          <w:sz w:val="22"/>
          <w:szCs w:val="22"/>
          <w:lang w:val="es-CO"/>
        </w:rPr>
        <w:t>Se incluye el aparte modificado (numeral o literal) íntegramente, con los cambios introducidos.</w:t>
      </w:r>
    </w:p>
    <w:p w14:paraId="37C64053" w14:textId="77777777" w:rsidR="006F5C66" w:rsidRPr="00B048D7" w:rsidRDefault="006F5C66" w:rsidP="002A2E28">
      <w:pPr>
        <w:autoSpaceDE w:val="0"/>
        <w:autoSpaceDN w:val="0"/>
        <w:adjustRightInd w:val="0"/>
        <w:jc w:val="both"/>
        <w:rPr>
          <w:rFonts w:ascii="Arial" w:hAnsi="Arial" w:cs="Arial"/>
          <w:sz w:val="22"/>
          <w:szCs w:val="22"/>
          <w:lang w:val="es-CO"/>
        </w:rPr>
      </w:pPr>
    </w:p>
    <w:p w14:paraId="1A99B889" w14:textId="00627BCE" w:rsidR="006F5C66" w:rsidRPr="00B048D7" w:rsidRDefault="006F5C66" w:rsidP="00A92963">
      <w:pPr>
        <w:pStyle w:val="Default"/>
        <w:jc w:val="center"/>
        <w:rPr>
          <w:b/>
          <w:bCs/>
          <w:color w:val="auto"/>
          <w:sz w:val="22"/>
          <w:szCs w:val="22"/>
        </w:rPr>
      </w:pPr>
      <w:r w:rsidRPr="00B048D7">
        <w:rPr>
          <w:b/>
          <w:bCs/>
          <w:color w:val="auto"/>
          <w:sz w:val="22"/>
          <w:szCs w:val="22"/>
        </w:rPr>
        <w:t xml:space="preserve">MODIFICACIONES AL </w:t>
      </w:r>
      <w:r w:rsidR="00CC508A" w:rsidRPr="00B048D7">
        <w:rPr>
          <w:b/>
          <w:bCs/>
          <w:color w:val="auto"/>
          <w:sz w:val="22"/>
          <w:szCs w:val="22"/>
        </w:rPr>
        <w:t>DOCUMENTO DE CONDICIONES</w:t>
      </w:r>
      <w:r w:rsidRPr="00B048D7">
        <w:rPr>
          <w:b/>
          <w:bCs/>
          <w:color w:val="auto"/>
          <w:sz w:val="22"/>
          <w:szCs w:val="22"/>
        </w:rPr>
        <w:t>:</w:t>
      </w:r>
    </w:p>
    <w:p w14:paraId="5B8EC750" w14:textId="77777777" w:rsidR="00784669" w:rsidRPr="00B048D7" w:rsidRDefault="00784669" w:rsidP="002A2E28">
      <w:pPr>
        <w:pStyle w:val="Default"/>
        <w:jc w:val="both"/>
        <w:rPr>
          <w:sz w:val="22"/>
          <w:szCs w:val="22"/>
        </w:rPr>
      </w:pPr>
    </w:p>
    <w:p w14:paraId="1B0F20CF" w14:textId="5435CBDE" w:rsidR="004A7CFF" w:rsidRPr="00B048D7" w:rsidRDefault="004A7CFF" w:rsidP="002A2E28">
      <w:pPr>
        <w:jc w:val="both"/>
        <w:rPr>
          <w:rFonts w:ascii="Arial" w:hAnsi="Arial" w:cs="Arial"/>
          <w:color w:val="000000"/>
          <w:sz w:val="22"/>
          <w:szCs w:val="22"/>
          <w:lang w:val="es-CO" w:eastAsia="es-CO"/>
        </w:rPr>
      </w:pPr>
      <w:r w:rsidRPr="00B048D7">
        <w:rPr>
          <w:rFonts w:ascii="Arial" w:eastAsia="Times New Roman" w:hAnsi="Arial" w:cs="Arial"/>
          <w:b/>
          <w:bCs/>
          <w:sz w:val="22"/>
          <w:szCs w:val="22"/>
          <w:lang w:val="es-CO" w:eastAsia="es-ES_tradnl"/>
        </w:rPr>
        <w:t>PRIMERA:</w:t>
      </w:r>
      <w:r w:rsidRPr="00B048D7">
        <w:rPr>
          <w:rFonts w:ascii="Arial" w:hAnsi="Arial" w:cs="Arial"/>
          <w:color w:val="000000"/>
          <w:sz w:val="22"/>
          <w:szCs w:val="22"/>
          <w:lang w:val="es-CO" w:eastAsia="es-CO"/>
        </w:rPr>
        <w:t xml:space="preserve"> </w:t>
      </w:r>
      <w:r w:rsidR="00FD2045" w:rsidRPr="00B048D7">
        <w:rPr>
          <w:rFonts w:ascii="Arial" w:hAnsi="Arial" w:cs="Arial"/>
          <w:color w:val="000000"/>
          <w:sz w:val="22"/>
          <w:szCs w:val="22"/>
          <w:lang w:val="es-CO" w:eastAsia="es-CO"/>
        </w:rPr>
        <w:t xml:space="preserve">Se modifica el literal (p) del numeral </w:t>
      </w:r>
      <w:r w:rsidR="00FD2045" w:rsidRPr="00B048D7">
        <w:rPr>
          <w:rFonts w:ascii="Arial" w:hAnsi="Arial" w:cs="Arial"/>
          <w:b/>
          <w:bCs/>
          <w:color w:val="000000"/>
          <w:sz w:val="22"/>
          <w:szCs w:val="22"/>
          <w:lang w:val="es-CO" w:eastAsia="es-CO"/>
        </w:rPr>
        <w:t>19. NO CONSIDERACIÓN DE LA POSTURA</w:t>
      </w:r>
      <w:r w:rsidR="00FD2045" w:rsidRPr="00B048D7">
        <w:rPr>
          <w:rFonts w:ascii="Arial" w:hAnsi="Arial" w:cs="Arial"/>
          <w:color w:val="000000"/>
          <w:sz w:val="22"/>
          <w:szCs w:val="22"/>
          <w:lang w:val="es-CO" w:eastAsia="es-CO"/>
        </w:rPr>
        <w:t xml:space="preserve"> </w:t>
      </w:r>
      <w:r w:rsidR="001D489E" w:rsidRPr="00B048D7">
        <w:rPr>
          <w:rFonts w:ascii="Arial" w:hAnsi="Arial" w:cs="Arial"/>
          <w:color w:val="000000"/>
          <w:sz w:val="22"/>
          <w:szCs w:val="22"/>
          <w:lang w:val="es-CO" w:eastAsia="es-CO"/>
        </w:rPr>
        <w:t xml:space="preserve">del </w:t>
      </w:r>
      <w:r w:rsidR="001D489E" w:rsidRPr="00B048D7">
        <w:rPr>
          <w:rFonts w:ascii="Arial" w:hAnsi="Arial" w:cs="Arial"/>
          <w:b/>
          <w:bCs/>
          <w:color w:val="000000"/>
          <w:sz w:val="22"/>
          <w:szCs w:val="22"/>
          <w:lang w:val="es-CO" w:eastAsia="es-CO"/>
        </w:rPr>
        <w:t>CAPITULO I ASPECTOS FUNDAMENTALES</w:t>
      </w:r>
      <w:r w:rsidR="001D489E" w:rsidRPr="00B048D7">
        <w:rPr>
          <w:rFonts w:ascii="Arial" w:hAnsi="Arial" w:cs="Arial"/>
          <w:color w:val="000000"/>
          <w:sz w:val="22"/>
          <w:szCs w:val="22"/>
          <w:lang w:val="es-CO" w:eastAsia="es-CO"/>
        </w:rPr>
        <w:t>, el cual en adelante se entenderá así:</w:t>
      </w:r>
    </w:p>
    <w:p w14:paraId="6E1F77A5" w14:textId="2E6A77FF" w:rsidR="004A7CFF" w:rsidRPr="00B048D7" w:rsidRDefault="004A7CFF" w:rsidP="002A2E28">
      <w:pPr>
        <w:jc w:val="both"/>
        <w:rPr>
          <w:rFonts w:ascii="Arial" w:hAnsi="Arial" w:cs="Arial"/>
          <w:sz w:val="22"/>
          <w:szCs w:val="22"/>
          <w:lang w:val="es-CO"/>
        </w:rPr>
      </w:pPr>
    </w:p>
    <w:p w14:paraId="0429E9F0" w14:textId="00FF99AD" w:rsidR="004A7CFF" w:rsidRPr="00B048D7" w:rsidRDefault="001D489E" w:rsidP="002A2E28">
      <w:pPr>
        <w:jc w:val="both"/>
        <w:rPr>
          <w:rFonts w:ascii="Arial" w:hAnsi="Arial" w:cs="Arial"/>
          <w:i/>
          <w:iCs/>
          <w:sz w:val="22"/>
          <w:szCs w:val="22"/>
          <w:lang w:val="es-CO"/>
        </w:rPr>
      </w:pPr>
      <w:r w:rsidRPr="00B048D7">
        <w:rPr>
          <w:rFonts w:ascii="Arial" w:hAnsi="Arial" w:cs="Arial"/>
          <w:i/>
          <w:iCs/>
          <w:sz w:val="22"/>
          <w:szCs w:val="22"/>
          <w:lang w:val="es-CO"/>
        </w:rPr>
        <w:t>p. La no entrega del anexo No. 4 correspondiente a los “Formato Nro. 4.1. Condiciones Seguro de Vida Grupo Deudores y Formato Nro. 4.2. Condiciones Seguro Todo Riesgo para Vehículos Productivos” o se haga modificación de los redactados contenidos en la columna donde se han descrito los AMPAROS/CONDICIONES o se entregue en forma incompleta.</w:t>
      </w:r>
    </w:p>
    <w:p w14:paraId="37C5EAD7" w14:textId="77777777" w:rsidR="004435A2" w:rsidRPr="00B048D7" w:rsidRDefault="004435A2" w:rsidP="002A2E28">
      <w:pPr>
        <w:jc w:val="both"/>
        <w:rPr>
          <w:rFonts w:ascii="Arial" w:hAnsi="Arial" w:cs="Arial"/>
          <w:i/>
          <w:iCs/>
          <w:sz w:val="22"/>
          <w:szCs w:val="22"/>
          <w:lang w:val="es-CO"/>
        </w:rPr>
      </w:pPr>
    </w:p>
    <w:p w14:paraId="0F6F926D" w14:textId="77777777" w:rsidR="00B3635C" w:rsidRPr="00B048D7" w:rsidRDefault="004435A2" w:rsidP="002A2E28">
      <w:pPr>
        <w:jc w:val="both"/>
        <w:rPr>
          <w:rFonts w:ascii="Arial" w:hAnsi="Arial" w:cs="Arial"/>
          <w:color w:val="1F497D"/>
          <w:sz w:val="22"/>
          <w:szCs w:val="22"/>
          <w:shd w:val="clear" w:color="auto" w:fill="FFFFFF"/>
          <w:lang w:val="es-CO"/>
        </w:rPr>
      </w:pPr>
      <w:r w:rsidRPr="00B048D7">
        <w:rPr>
          <w:rFonts w:ascii="Arial" w:eastAsia="Times New Roman" w:hAnsi="Arial" w:cs="Arial"/>
          <w:b/>
          <w:bCs/>
          <w:sz w:val="22"/>
          <w:szCs w:val="22"/>
          <w:lang w:val="es-CO" w:eastAsia="es-ES_tradnl"/>
        </w:rPr>
        <w:t>SEGUNDA:</w:t>
      </w:r>
      <w:r w:rsidRPr="00B048D7">
        <w:rPr>
          <w:rFonts w:ascii="Arial" w:hAnsi="Arial" w:cs="Arial"/>
          <w:color w:val="1F497D"/>
          <w:sz w:val="22"/>
          <w:szCs w:val="22"/>
          <w:shd w:val="clear" w:color="auto" w:fill="FFFFFF"/>
          <w:lang w:val="es-CO"/>
        </w:rPr>
        <w:t xml:space="preserve"> </w:t>
      </w:r>
      <w:r w:rsidR="00B3635C" w:rsidRPr="00B048D7">
        <w:rPr>
          <w:rFonts w:ascii="Arial" w:eastAsia="Times New Roman" w:hAnsi="Arial" w:cs="Arial"/>
          <w:sz w:val="22"/>
          <w:szCs w:val="22"/>
          <w:lang w:val="es-CO" w:eastAsia="es-ES_tradnl"/>
        </w:rPr>
        <w:t xml:space="preserve">Se modifica el </w:t>
      </w:r>
      <w:proofErr w:type="spellStart"/>
      <w:r w:rsidR="00B3635C" w:rsidRPr="00B048D7">
        <w:rPr>
          <w:rFonts w:ascii="Arial" w:eastAsia="Times New Roman" w:hAnsi="Arial" w:cs="Arial"/>
          <w:sz w:val="22"/>
          <w:szCs w:val="22"/>
          <w:lang w:val="es-CO" w:eastAsia="es-ES_tradnl"/>
        </w:rPr>
        <w:t>subnumeral</w:t>
      </w:r>
      <w:proofErr w:type="spellEnd"/>
      <w:r w:rsidR="00B3635C" w:rsidRPr="00B048D7">
        <w:rPr>
          <w:rFonts w:ascii="Arial" w:eastAsia="Times New Roman" w:hAnsi="Arial" w:cs="Arial"/>
          <w:sz w:val="22"/>
          <w:szCs w:val="22"/>
          <w:lang w:val="es-CO" w:eastAsia="es-ES_tradnl"/>
        </w:rPr>
        <w:t xml:space="preserve"> </w:t>
      </w:r>
      <w:r w:rsidR="00B3635C" w:rsidRPr="00B048D7">
        <w:rPr>
          <w:rFonts w:ascii="Arial" w:eastAsia="Times New Roman" w:hAnsi="Arial" w:cs="Arial"/>
          <w:b/>
          <w:bCs/>
          <w:sz w:val="22"/>
          <w:szCs w:val="22"/>
          <w:lang w:val="es-CO" w:eastAsia="es-ES_tradnl"/>
        </w:rPr>
        <w:t>20.2.1</w:t>
      </w:r>
      <w:r w:rsidR="00B3635C" w:rsidRPr="00B048D7">
        <w:rPr>
          <w:rFonts w:ascii="Arial" w:eastAsia="Times New Roman" w:hAnsi="Arial" w:cs="Arial"/>
          <w:sz w:val="22"/>
          <w:szCs w:val="22"/>
          <w:lang w:val="es-CO" w:eastAsia="es-ES_tradnl"/>
        </w:rPr>
        <w:t xml:space="preserve"> del numeral </w:t>
      </w:r>
      <w:r w:rsidR="00B3635C" w:rsidRPr="00B048D7">
        <w:rPr>
          <w:rFonts w:ascii="Arial" w:eastAsia="Times New Roman" w:hAnsi="Arial" w:cs="Arial"/>
          <w:b/>
          <w:bCs/>
          <w:sz w:val="22"/>
          <w:szCs w:val="22"/>
          <w:lang w:val="es-CO" w:eastAsia="es-ES_tradnl"/>
        </w:rPr>
        <w:t>20.2. PROCEDIMIENTO DE CALIFICACIÓN</w:t>
      </w:r>
      <w:r w:rsidR="00B3635C" w:rsidRPr="00B048D7">
        <w:rPr>
          <w:rFonts w:ascii="Arial" w:eastAsia="Times New Roman" w:hAnsi="Arial" w:cs="Arial"/>
          <w:sz w:val="22"/>
          <w:szCs w:val="22"/>
          <w:lang w:val="es-CO" w:eastAsia="es-ES_tradnl"/>
        </w:rPr>
        <w:t xml:space="preserve">, correspondiente al numeral </w:t>
      </w:r>
      <w:r w:rsidR="00B3635C" w:rsidRPr="00B048D7">
        <w:rPr>
          <w:rFonts w:ascii="Arial" w:eastAsia="Times New Roman" w:hAnsi="Arial" w:cs="Arial"/>
          <w:b/>
          <w:bCs/>
          <w:sz w:val="22"/>
          <w:szCs w:val="22"/>
          <w:lang w:val="es-CO" w:eastAsia="es-ES_tradnl"/>
        </w:rPr>
        <w:t>20. VERIFICACIÓN DE REQUISITOS Y EVALUACIÓN DE LAS PROPUESTAS</w:t>
      </w:r>
      <w:r w:rsidR="00B3635C" w:rsidRPr="00B048D7">
        <w:rPr>
          <w:rFonts w:ascii="Arial" w:eastAsia="Times New Roman" w:hAnsi="Arial" w:cs="Arial"/>
          <w:sz w:val="22"/>
          <w:szCs w:val="22"/>
          <w:lang w:val="es-CO" w:eastAsia="es-ES_tradnl"/>
        </w:rPr>
        <w:t xml:space="preserve"> del </w:t>
      </w:r>
      <w:r w:rsidR="00B3635C" w:rsidRPr="00B048D7">
        <w:rPr>
          <w:rFonts w:ascii="Arial" w:eastAsia="Times New Roman" w:hAnsi="Arial" w:cs="Arial"/>
          <w:b/>
          <w:bCs/>
          <w:sz w:val="22"/>
          <w:szCs w:val="22"/>
          <w:lang w:val="es-CO" w:eastAsia="es-ES_tradnl"/>
        </w:rPr>
        <w:t>CAPÍTULO I: ASPECTOS FUNDAMENTALES</w:t>
      </w:r>
      <w:r w:rsidR="00B3635C" w:rsidRPr="00B048D7">
        <w:rPr>
          <w:rFonts w:ascii="Arial" w:eastAsia="Times New Roman" w:hAnsi="Arial" w:cs="Arial"/>
          <w:sz w:val="22"/>
          <w:szCs w:val="22"/>
          <w:lang w:val="es-CO" w:eastAsia="es-ES_tradnl"/>
        </w:rPr>
        <w:t>, el cual en adelante se entenderá de la siguiente manera:</w:t>
      </w:r>
    </w:p>
    <w:p w14:paraId="2FA8EDD3" w14:textId="77777777" w:rsidR="00B3635C" w:rsidRPr="00B048D7" w:rsidRDefault="00B3635C" w:rsidP="002A2E28">
      <w:pPr>
        <w:jc w:val="both"/>
        <w:rPr>
          <w:rFonts w:ascii="Arial" w:hAnsi="Arial" w:cs="Arial"/>
          <w:i/>
          <w:iCs/>
          <w:color w:val="1F497D"/>
          <w:sz w:val="22"/>
          <w:szCs w:val="22"/>
          <w:shd w:val="clear" w:color="auto" w:fill="FFFFFF"/>
          <w:lang w:val="es-CO"/>
        </w:rPr>
      </w:pPr>
    </w:p>
    <w:p w14:paraId="2C69221E" w14:textId="6A6B0CB1" w:rsidR="00B3635C" w:rsidRPr="00B048D7" w:rsidRDefault="00B3635C" w:rsidP="00B3635C">
      <w:pPr>
        <w:jc w:val="both"/>
        <w:rPr>
          <w:rFonts w:ascii="Arial" w:eastAsia="Times New Roman" w:hAnsi="Arial" w:cs="Arial"/>
          <w:b/>
          <w:bCs/>
          <w:i/>
          <w:iCs/>
          <w:sz w:val="22"/>
          <w:szCs w:val="22"/>
          <w:lang w:val="es-CO" w:eastAsia="es-ES_tradnl"/>
        </w:rPr>
      </w:pPr>
      <w:r w:rsidRPr="00B048D7">
        <w:rPr>
          <w:rFonts w:ascii="Arial" w:eastAsia="Times New Roman" w:hAnsi="Arial" w:cs="Arial"/>
          <w:b/>
          <w:bCs/>
          <w:i/>
          <w:iCs/>
          <w:sz w:val="22"/>
          <w:szCs w:val="22"/>
          <w:lang w:val="es-CO" w:eastAsia="es-ES_tradnl"/>
        </w:rPr>
        <w:t>20.2. PROCEDIMIENTO DE CALIFICACIÓN</w:t>
      </w:r>
    </w:p>
    <w:p w14:paraId="584EA7DF" w14:textId="77777777" w:rsidR="00B3635C" w:rsidRPr="00B048D7" w:rsidRDefault="00B3635C" w:rsidP="00B3635C">
      <w:pPr>
        <w:jc w:val="both"/>
        <w:rPr>
          <w:rFonts w:ascii="Arial" w:eastAsia="Times New Roman" w:hAnsi="Arial" w:cs="Arial"/>
          <w:i/>
          <w:iCs/>
          <w:sz w:val="22"/>
          <w:szCs w:val="22"/>
          <w:lang w:val="es-CO" w:eastAsia="es-ES_tradnl"/>
        </w:rPr>
      </w:pPr>
    </w:p>
    <w:p w14:paraId="5C8B0115" w14:textId="77777777" w:rsidR="00B3635C" w:rsidRPr="00B048D7" w:rsidRDefault="00B3635C" w:rsidP="00B3635C">
      <w:pPr>
        <w:jc w:val="both"/>
        <w:rPr>
          <w:rFonts w:ascii="Arial" w:eastAsia="Times New Roman" w:hAnsi="Arial" w:cs="Arial"/>
          <w:i/>
          <w:iCs/>
          <w:sz w:val="22"/>
          <w:szCs w:val="22"/>
          <w:lang w:val="es-CO" w:eastAsia="es-ES_tradnl"/>
        </w:rPr>
      </w:pPr>
      <w:r w:rsidRPr="00B048D7">
        <w:rPr>
          <w:rFonts w:ascii="Arial" w:eastAsia="Times New Roman" w:hAnsi="Arial" w:cs="Arial"/>
          <w:b/>
          <w:bCs/>
          <w:i/>
          <w:iCs/>
          <w:sz w:val="22"/>
          <w:szCs w:val="22"/>
          <w:lang w:val="es-CO" w:eastAsia="es-ES_tradnl"/>
        </w:rPr>
        <w:t>20.2.1.</w:t>
      </w:r>
      <w:r w:rsidRPr="00B048D7">
        <w:rPr>
          <w:rFonts w:ascii="Arial" w:eastAsia="Times New Roman" w:hAnsi="Arial" w:cs="Arial"/>
          <w:i/>
          <w:iCs/>
          <w:sz w:val="22"/>
          <w:szCs w:val="22"/>
          <w:lang w:val="es-CO" w:eastAsia="es-ES_tradnl"/>
        </w:rPr>
        <w:tab/>
        <w:t>Verificación de la calidad de la aseguradora proponente y de la documentación:</w:t>
      </w:r>
    </w:p>
    <w:p w14:paraId="5BB5721F" w14:textId="77777777" w:rsidR="00B3635C" w:rsidRPr="00B048D7" w:rsidRDefault="00B3635C" w:rsidP="00B3635C">
      <w:pPr>
        <w:jc w:val="both"/>
        <w:rPr>
          <w:rFonts w:ascii="Arial" w:eastAsia="Times New Roman" w:hAnsi="Arial" w:cs="Arial"/>
          <w:i/>
          <w:iCs/>
          <w:sz w:val="22"/>
          <w:szCs w:val="22"/>
          <w:lang w:val="es-CO" w:eastAsia="es-ES_tradnl"/>
        </w:rPr>
      </w:pPr>
      <w:r w:rsidRPr="00B048D7">
        <w:rPr>
          <w:rFonts w:ascii="Arial" w:eastAsia="Times New Roman" w:hAnsi="Arial" w:cs="Arial"/>
          <w:i/>
          <w:iCs/>
          <w:sz w:val="22"/>
          <w:szCs w:val="22"/>
          <w:lang w:val="es-CO" w:eastAsia="es-ES_tradnl"/>
        </w:rPr>
        <w:t>•</w:t>
      </w:r>
      <w:r w:rsidRPr="00B048D7">
        <w:rPr>
          <w:rFonts w:ascii="Arial" w:eastAsia="Times New Roman" w:hAnsi="Arial" w:cs="Arial"/>
          <w:i/>
          <w:iCs/>
          <w:sz w:val="22"/>
          <w:szCs w:val="22"/>
          <w:lang w:val="es-CO" w:eastAsia="es-ES_tradnl"/>
        </w:rPr>
        <w:tab/>
        <w:t>Se verificará que la aseguradora proponente cumpla con todos los requisitos habilitantes, indicando si cumple o no cumple.</w:t>
      </w:r>
    </w:p>
    <w:p w14:paraId="162123E3" w14:textId="5AE7F3E4" w:rsidR="001D489E" w:rsidRPr="00B048D7" w:rsidRDefault="00B3635C" w:rsidP="00B3635C">
      <w:pPr>
        <w:jc w:val="both"/>
        <w:rPr>
          <w:rFonts w:ascii="Arial" w:eastAsia="Times New Roman" w:hAnsi="Arial" w:cs="Arial"/>
          <w:i/>
          <w:iCs/>
          <w:sz w:val="22"/>
          <w:szCs w:val="22"/>
          <w:lang w:val="es-CO" w:eastAsia="es-ES_tradnl"/>
        </w:rPr>
      </w:pPr>
      <w:r w:rsidRPr="00B048D7">
        <w:rPr>
          <w:rFonts w:ascii="Arial" w:eastAsia="Times New Roman" w:hAnsi="Arial" w:cs="Arial"/>
          <w:i/>
          <w:iCs/>
          <w:sz w:val="22"/>
          <w:szCs w:val="22"/>
          <w:lang w:val="es-CO" w:eastAsia="es-ES_tradnl"/>
        </w:rPr>
        <w:t>•</w:t>
      </w:r>
      <w:r w:rsidRPr="00B048D7">
        <w:rPr>
          <w:rFonts w:ascii="Arial" w:eastAsia="Times New Roman" w:hAnsi="Arial" w:cs="Arial"/>
          <w:i/>
          <w:iCs/>
          <w:sz w:val="22"/>
          <w:szCs w:val="22"/>
          <w:lang w:val="es-CO" w:eastAsia="es-ES_tradnl"/>
        </w:rPr>
        <w:tab/>
        <w:t>Se verificará que la aseguradora proponente cumpla con todos los documentos obligatorios, indicando si cumple o no cumple.</w:t>
      </w:r>
    </w:p>
    <w:p w14:paraId="1DE28E41" w14:textId="77777777" w:rsidR="00B3635C" w:rsidRPr="00B048D7" w:rsidRDefault="00B3635C" w:rsidP="002A2E28">
      <w:pPr>
        <w:jc w:val="both"/>
        <w:rPr>
          <w:rFonts w:ascii="Arial" w:hAnsi="Arial" w:cs="Arial"/>
          <w:i/>
          <w:iCs/>
          <w:sz w:val="22"/>
          <w:szCs w:val="22"/>
          <w:lang w:val="es-CO"/>
        </w:rPr>
      </w:pPr>
    </w:p>
    <w:p w14:paraId="0F32104B" w14:textId="48C65E1E" w:rsidR="00FF06AF" w:rsidRPr="00B048D7" w:rsidRDefault="00FF06AF" w:rsidP="00FF06AF">
      <w:pPr>
        <w:jc w:val="both"/>
        <w:rPr>
          <w:rFonts w:ascii="Arial" w:hAnsi="Arial" w:cs="Arial"/>
          <w:color w:val="1F497D"/>
          <w:sz w:val="22"/>
          <w:szCs w:val="22"/>
          <w:shd w:val="clear" w:color="auto" w:fill="FFFFFF"/>
          <w:lang w:val="es-CO"/>
        </w:rPr>
      </w:pPr>
      <w:r w:rsidRPr="00B048D7">
        <w:rPr>
          <w:rFonts w:ascii="Arial" w:eastAsia="Times New Roman" w:hAnsi="Arial" w:cs="Arial"/>
          <w:b/>
          <w:bCs/>
          <w:sz w:val="22"/>
          <w:szCs w:val="22"/>
          <w:lang w:val="es-CO" w:eastAsia="es-ES_tradnl"/>
        </w:rPr>
        <w:lastRenderedPageBreak/>
        <w:t>TERCERA:</w:t>
      </w:r>
      <w:r w:rsidRPr="00B048D7">
        <w:rPr>
          <w:rFonts w:ascii="Arial" w:hAnsi="Arial" w:cs="Arial"/>
          <w:color w:val="1F497D"/>
          <w:sz w:val="22"/>
          <w:szCs w:val="22"/>
          <w:shd w:val="clear" w:color="auto" w:fill="FFFFFF"/>
          <w:lang w:val="es-CO"/>
        </w:rPr>
        <w:t xml:space="preserve"> </w:t>
      </w:r>
      <w:r w:rsidRPr="00B048D7">
        <w:rPr>
          <w:rFonts w:ascii="Arial" w:eastAsia="Times New Roman" w:hAnsi="Arial" w:cs="Arial"/>
          <w:sz w:val="22"/>
          <w:szCs w:val="22"/>
          <w:lang w:val="es-CO" w:eastAsia="es-ES_tradnl"/>
        </w:rPr>
        <w:t>Se modifica</w:t>
      </w:r>
      <w:r w:rsidR="007B5F3B" w:rsidRPr="00B048D7">
        <w:rPr>
          <w:rFonts w:ascii="Arial" w:eastAsia="Times New Roman" w:hAnsi="Arial" w:cs="Arial"/>
          <w:sz w:val="22"/>
          <w:szCs w:val="22"/>
          <w:lang w:val="es-CO" w:eastAsia="es-ES_tradnl"/>
        </w:rPr>
        <w:t>n</w:t>
      </w:r>
      <w:r w:rsidRPr="00B048D7">
        <w:rPr>
          <w:rFonts w:ascii="Arial" w:eastAsia="Times New Roman" w:hAnsi="Arial" w:cs="Arial"/>
          <w:sz w:val="22"/>
          <w:szCs w:val="22"/>
          <w:lang w:val="es-CO" w:eastAsia="es-ES_tradnl"/>
        </w:rPr>
        <w:t xml:space="preserve"> </w:t>
      </w:r>
      <w:r w:rsidR="007B5F3B" w:rsidRPr="00B048D7">
        <w:rPr>
          <w:rFonts w:ascii="Arial" w:eastAsia="Times New Roman" w:hAnsi="Arial" w:cs="Arial"/>
          <w:sz w:val="22"/>
          <w:szCs w:val="22"/>
          <w:lang w:val="es-CO" w:eastAsia="es-ES_tradnl"/>
        </w:rPr>
        <w:t>los</w:t>
      </w:r>
      <w:r w:rsidRPr="00B048D7">
        <w:rPr>
          <w:rFonts w:ascii="Arial" w:eastAsia="Times New Roman" w:hAnsi="Arial" w:cs="Arial"/>
          <w:sz w:val="22"/>
          <w:szCs w:val="22"/>
          <w:lang w:val="es-CO" w:eastAsia="es-ES_tradnl"/>
        </w:rPr>
        <w:t xml:space="preserve"> </w:t>
      </w:r>
      <w:proofErr w:type="spellStart"/>
      <w:r w:rsidRPr="00B048D7">
        <w:rPr>
          <w:rFonts w:ascii="Arial" w:eastAsia="Times New Roman" w:hAnsi="Arial" w:cs="Arial"/>
          <w:sz w:val="22"/>
          <w:szCs w:val="22"/>
          <w:lang w:val="es-CO" w:eastAsia="es-ES_tradnl"/>
        </w:rPr>
        <w:t>subnumeral</w:t>
      </w:r>
      <w:r w:rsidR="007B5F3B" w:rsidRPr="00B048D7">
        <w:rPr>
          <w:rFonts w:ascii="Arial" w:eastAsia="Times New Roman" w:hAnsi="Arial" w:cs="Arial"/>
          <w:sz w:val="22"/>
          <w:szCs w:val="22"/>
          <w:lang w:val="es-CO" w:eastAsia="es-ES_tradnl"/>
        </w:rPr>
        <w:t>es</w:t>
      </w:r>
      <w:proofErr w:type="spellEnd"/>
      <w:r w:rsidRPr="00B048D7">
        <w:rPr>
          <w:rFonts w:ascii="Arial" w:eastAsia="Times New Roman" w:hAnsi="Arial" w:cs="Arial"/>
          <w:sz w:val="22"/>
          <w:szCs w:val="22"/>
          <w:lang w:val="es-CO" w:eastAsia="es-ES_tradnl"/>
        </w:rPr>
        <w:t xml:space="preserve"> </w:t>
      </w:r>
      <w:r w:rsidRPr="00B048D7">
        <w:rPr>
          <w:rFonts w:ascii="Arial" w:eastAsia="Times New Roman" w:hAnsi="Arial" w:cs="Arial"/>
          <w:b/>
          <w:bCs/>
          <w:sz w:val="22"/>
          <w:szCs w:val="22"/>
          <w:lang w:val="es-CO" w:eastAsia="es-ES_tradnl"/>
        </w:rPr>
        <w:t>20.2.4</w:t>
      </w:r>
      <w:r w:rsidRPr="00B048D7">
        <w:rPr>
          <w:rFonts w:ascii="Arial" w:eastAsia="Times New Roman" w:hAnsi="Arial" w:cs="Arial"/>
          <w:sz w:val="22"/>
          <w:szCs w:val="22"/>
          <w:lang w:val="es-CO" w:eastAsia="es-ES_tradnl"/>
        </w:rPr>
        <w:t xml:space="preserve"> </w:t>
      </w:r>
      <w:r w:rsidR="007B5F3B" w:rsidRPr="00B048D7">
        <w:rPr>
          <w:rFonts w:ascii="Arial" w:eastAsia="Times New Roman" w:hAnsi="Arial" w:cs="Arial"/>
          <w:sz w:val="22"/>
          <w:szCs w:val="22"/>
          <w:lang w:val="es-CO" w:eastAsia="es-ES_tradnl"/>
        </w:rPr>
        <w:t xml:space="preserve">y </w:t>
      </w:r>
      <w:r w:rsidR="007B5F3B" w:rsidRPr="00B048D7">
        <w:rPr>
          <w:rFonts w:ascii="Arial" w:eastAsia="Times New Roman" w:hAnsi="Arial" w:cs="Arial"/>
          <w:b/>
          <w:bCs/>
          <w:sz w:val="22"/>
          <w:szCs w:val="22"/>
          <w:lang w:val="es-CO" w:eastAsia="es-ES_tradnl"/>
        </w:rPr>
        <w:t>20.2.</w:t>
      </w:r>
      <w:r w:rsidR="007B5F3B" w:rsidRPr="00B048D7">
        <w:rPr>
          <w:rFonts w:ascii="Arial" w:eastAsia="Times New Roman" w:hAnsi="Arial" w:cs="Arial"/>
          <w:b/>
          <w:bCs/>
          <w:sz w:val="22"/>
          <w:szCs w:val="22"/>
          <w:lang w:val="es-CO" w:eastAsia="es-ES_tradnl"/>
        </w:rPr>
        <w:t>5</w:t>
      </w:r>
      <w:r w:rsidR="007B5F3B" w:rsidRPr="00B048D7">
        <w:rPr>
          <w:rFonts w:ascii="Arial" w:eastAsia="Times New Roman" w:hAnsi="Arial" w:cs="Arial"/>
          <w:sz w:val="22"/>
          <w:szCs w:val="22"/>
          <w:lang w:val="es-CO" w:eastAsia="es-ES_tradnl"/>
        </w:rPr>
        <w:t xml:space="preserve"> </w:t>
      </w:r>
      <w:r w:rsidRPr="00B048D7">
        <w:rPr>
          <w:rFonts w:ascii="Arial" w:eastAsia="Times New Roman" w:hAnsi="Arial" w:cs="Arial"/>
          <w:sz w:val="22"/>
          <w:szCs w:val="22"/>
          <w:lang w:val="es-CO" w:eastAsia="es-ES_tradnl"/>
        </w:rPr>
        <w:t xml:space="preserve">del numeral </w:t>
      </w:r>
      <w:r w:rsidRPr="00B048D7">
        <w:rPr>
          <w:rFonts w:ascii="Arial" w:eastAsia="Times New Roman" w:hAnsi="Arial" w:cs="Arial"/>
          <w:b/>
          <w:bCs/>
          <w:sz w:val="22"/>
          <w:szCs w:val="22"/>
          <w:lang w:val="es-CO" w:eastAsia="es-ES_tradnl"/>
        </w:rPr>
        <w:t>20.2. PROCEDIMIENTO DE CALIFICACIÓN</w:t>
      </w:r>
      <w:r w:rsidRPr="00B048D7">
        <w:rPr>
          <w:rFonts w:ascii="Arial" w:eastAsia="Times New Roman" w:hAnsi="Arial" w:cs="Arial"/>
          <w:sz w:val="22"/>
          <w:szCs w:val="22"/>
          <w:lang w:val="es-CO" w:eastAsia="es-ES_tradnl"/>
        </w:rPr>
        <w:t xml:space="preserve">, correspondiente al numeral </w:t>
      </w:r>
      <w:r w:rsidRPr="00B048D7">
        <w:rPr>
          <w:rFonts w:ascii="Arial" w:eastAsia="Times New Roman" w:hAnsi="Arial" w:cs="Arial"/>
          <w:b/>
          <w:bCs/>
          <w:sz w:val="22"/>
          <w:szCs w:val="22"/>
          <w:lang w:val="es-CO" w:eastAsia="es-ES_tradnl"/>
        </w:rPr>
        <w:t>20. VERIFICACIÓN DE REQUISITOS Y EVALUACIÓN DE LAS PROPUESTAS</w:t>
      </w:r>
      <w:r w:rsidRPr="00B048D7">
        <w:rPr>
          <w:rFonts w:ascii="Arial" w:eastAsia="Times New Roman" w:hAnsi="Arial" w:cs="Arial"/>
          <w:sz w:val="22"/>
          <w:szCs w:val="22"/>
          <w:lang w:val="es-CO" w:eastAsia="es-ES_tradnl"/>
        </w:rPr>
        <w:t xml:space="preserve"> del </w:t>
      </w:r>
      <w:r w:rsidRPr="00B048D7">
        <w:rPr>
          <w:rFonts w:ascii="Arial" w:eastAsia="Times New Roman" w:hAnsi="Arial" w:cs="Arial"/>
          <w:b/>
          <w:bCs/>
          <w:sz w:val="22"/>
          <w:szCs w:val="22"/>
          <w:lang w:val="es-CO" w:eastAsia="es-ES_tradnl"/>
        </w:rPr>
        <w:t>CAPÍTULO I: ASPECTOS FUNDAMENTALES</w:t>
      </w:r>
      <w:r w:rsidRPr="00B048D7">
        <w:rPr>
          <w:rFonts w:ascii="Arial" w:eastAsia="Times New Roman" w:hAnsi="Arial" w:cs="Arial"/>
          <w:sz w:val="22"/>
          <w:szCs w:val="22"/>
          <w:lang w:val="es-CO" w:eastAsia="es-ES_tradnl"/>
        </w:rPr>
        <w:t xml:space="preserve">, </w:t>
      </w:r>
      <w:r w:rsidR="007B5F3B" w:rsidRPr="00B048D7">
        <w:rPr>
          <w:rFonts w:ascii="Arial" w:eastAsia="Times New Roman" w:hAnsi="Arial" w:cs="Arial"/>
          <w:sz w:val="22"/>
          <w:szCs w:val="22"/>
          <w:lang w:val="es-CO" w:eastAsia="es-ES_tradnl"/>
        </w:rPr>
        <w:t>los</w:t>
      </w:r>
      <w:r w:rsidRPr="00B048D7">
        <w:rPr>
          <w:rFonts w:ascii="Arial" w:eastAsia="Times New Roman" w:hAnsi="Arial" w:cs="Arial"/>
          <w:sz w:val="22"/>
          <w:szCs w:val="22"/>
          <w:lang w:val="es-CO" w:eastAsia="es-ES_tradnl"/>
        </w:rPr>
        <w:t xml:space="preserve"> cual</w:t>
      </w:r>
      <w:r w:rsidR="007B5F3B" w:rsidRPr="00B048D7">
        <w:rPr>
          <w:rFonts w:ascii="Arial" w:eastAsia="Times New Roman" w:hAnsi="Arial" w:cs="Arial"/>
          <w:sz w:val="22"/>
          <w:szCs w:val="22"/>
          <w:lang w:val="es-CO" w:eastAsia="es-ES_tradnl"/>
        </w:rPr>
        <w:t>es</w:t>
      </w:r>
      <w:r w:rsidRPr="00B048D7">
        <w:rPr>
          <w:rFonts w:ascii="Arial" w:eastAsia="Times New Roman" w:hAnsi="Arial" w:cs="Arial"/>
          <w:sz w:val="22"/>
          <w:szCs w:val="22"/>
          <w:lang w:val="es-CO" w:eastAsia="es-ES_tradnl"/>
        </w:rPr>
        <w:t xml:space="preserve"> en adelante se </w:t>
      </w:r>
      <w:r w:rsidR="007B5F3B" w:rsidRPr="00B048D7">
        <w:rPr>
          <w:rFonts w:ascii="Arial" w:eastAsia="Times New Roman" w:hAnsi="Arial" w:cs="Arial"/>
          <w:sz w:val="22"/>
          <w:szCs w:val="22"/>
          <w:lang w:val="es-CO" w:eastAsia="es-ES_tradnl"/>
        </w:rPr>
        <w:t>entenderán</w:t>
      </w:r>
      <w:r w:rsidRPr="00B048D7">
        <w:rPr>
          <w:rFonts w:ascii="Arial" w:eastAsia="Times New Roman" w:hAnsi="Arial" w:cs="Arial"/>
          <w:sz w:val="22"/>
          <w:szCs w:val="22"/>
          <w:lang w:val="es-CO" w:eastAsia="es-ES_tradnl"/>
        </w:rPr>
        <w:t xml:space="preserve"> de la siguiente manera:</w:t>
      </w:r>
    </w:p>
    <w:p w14:paraId="4E3B5869" w14:textId="77777777" w:rsidR="00FF06AF" w:rsidRPr="00B048D7" w:rsidRDefault="00FF06AF" w:rsidP="00E05D1D">
      <w:pPr>
        <w:jc w:val="both"/>
        <w:rPr>
          <w:rFonts w:ascii="Arial" w:eastAsia="Times New Roman" w:hAnsi="Arial" w:cs="Arial"/>
          <w:b/>
          <w:bCs/>
          <w:sz w:val="22"/>
          <w:szCs w:val="22"/>
          <w:lang w:val="es-CO" w:eastAsia="es-ES_tradnl"/>
        </w:rPr>
      </w:pPr>
    </w:p>
    <w:p w14:paraId="2B04D882" w14:textId="0AE38368" w:rsidR="00FF06AF" w:rsidRPr="00B048D7" w:rsidRDefault="00FF06AF" w:rsidP="00094564">
      <w:pPr>
        <w:pStyle w:val="Prrafodelista"/>
        <w:numPr>
          <w:ilvl w:val="2"/>
          <w:numId w:val="8"/>
        </w:numPr>
        <w:autoSpaceDE w:val="0"/>
        <w:autoSpaceDN w:val="0"/>
        <w:adjustRightInd w:val="0"/>
        <w:jc w:val="both"/>
        <w:rPr>
          <w:rFonts w:ascii="Arial" w:hAnsi="Arial" w:cs="Arial"/>
          <w:i/>
          <w:iCs/>
          <w:sz w:val="22"/>
          <w:szCs w:val="22"/>
          <w:lang w:val="es-CO" w:eastAsia="es-CO"/>
        </w:rPr>
      </w:pPr>
      <w:r w:rsidRPr="00B048D7">
        <w:rPr>
          <w:rFonts w:ascii="Arial" w:hAnsi="Arial" w:cs="Arial"/>
          <w:i/>
          <w:iCs/>
          <w:sz w:val="22"/>
          <w:szCs w:val="22"/>
          <w:lang w:val="es-CO" w:eastAsia="es-CO"/>
        </w:rPr>
        <w:t>Estándares de atención, servicio y oportunidad</w:t>
      </w:r>
    </w:p>
    <w:p w14:paraId="0DE5C920" w14:textId="06FBF73D" w:rsidR="008D502B" w:rsidRPr="00B048D7" w:rsidRDefault="008D502B" w:rsidP="00094564">
      <w:pPr>
        <w:jc w:val="both"/>
        <w:rPr>
          <w:rFonts w:ascii="Arial" w:hAnsi="Arial" w:cs="Arial"/>
          <w:i/>
          <w:iCs/>
          <w:sz w:val="22"/>
          <w:szCs w:val="22"/>
          <w:lang w:val="es-CO" w:eastAsia="es-CO"/>
        </w:rPr>
      </w:pPr>
      <w:r w:rsidRPr="00B048D7">
        <w:rPr>
          <w:rFonts w:ascii="Arial" w:eastAsia="Times New Roman" w:hAnsi="Arial" w:cs="Arial"/>
          <w:i/>
          <w:iCs/>
          <w:sz w:val="22"/>
          <w:szCs w:val="22"/>
          <w:lang w:val="es-CO" w:eastAsia="es-ES_tradnl"/>
        </w:rPr>
        <w:t xml:space="preserve">La aseguradora proponente presentará su portafolio de estándares de atención, servicio y oportunidad en el formato de su elección, debidamente suscrito por su representante legal, según lo requerido en el </w:t>
      </w:r>
      <w:r w:rsidRPr="00B048D7">
        <w:rPr>
          <w:rFonts w:ascii="Arial" w:eastAsia="Times New Roman" w:hAnsi="Arial" w:cs="Arial"/>
          <w:b/>
          <w:bCs/>
          <w:i/>
          <w:iCs/>
          <w:sz w:val="22"/>
          <w:szCs w:val="22"/>
          <w:lang w:val="es-CO" w:eastAsia="es-ES_tradnl"/>
        </w:rPr>
        <w:t>Anexo 6</w:t>
      </w:r>
      <w:r w:rsidRPr="00B048D7">
        <w:rPr>
          <w:rFonts w:ascii="Arial" w:eastAsia="Times New Roman" w:hAnsi="Arial" w:cs="Arial"/>
          <w:i/>
          <w:iCs/>
          <w:sz w:val="22"/>
          <w:szCs w:val="22"/>
          <w:lang w:val="es-CO" w:eastAsia="es-ES_tradnl"/>
        </w:rPr>
        <w:t xml:space="preserve"> y de acuerdo con los siguientes criterios:</w:t>
      </w:r>
    </w:p>
    <w:p w14:paraId="6E151F1D" w14:textId="77777777" w:rsidR="00FF06AF" w:rsidRPr="00B048D7" w:rsidRDefault="00FF06AF" w:rsidP="00FF06AF">
      <w:pPr>
        <w:autoSpaceDE w:val="0"/>
        <w:autoSpaceDN w:val="0"/>
        <w:adjustRightInd w:val="0"/>
        <w:jc w:val="both"/>
        <w:rPr>
          <w:rFonts w:ascii="Arial" w:hAnsi="Arial" w:cs="Arial"/>
          <w:i/>
          <w:iCs/>
          <w:sz w:val="22"/>
          <w:szCs w:val="22"/>
          <w:lang w:val="es-CO" w:eastAsia="es-CO"/>
        </w:rPr>
      </w:pPr>
    </w:p>
    <w:p w14:paraId="296EE54F" w14:textId="47AD5946" w:rsidR="00FF06AF" w:rsidRPr="00B048D7" w:rsidRDefault="00FF06AF" w:rsidP="00FF06AF">
      <w:pPr>
        <w:autoSpaceDE w:val="0"/>
        <w:autoSpaceDN w:val="0"/>
        <w:adjustRightInd w:val="0"/>
        <w:jc w:val="both"/>
        <w:rPr>
          <w:rFonts w:ascii="Arial" w:hAnsi="Arial" w:cs="Arial"/>
          <w:i/>
          <w:iCs/>
          <w:sz w:val="22"/>
          <w:szCs w:val="22"/>
          <w:lang w:val="es-CO" w:eastAsia="es-CO"/>
        </w:rPr>
      </w:pPr>
      <w:r w:rsidRPr="00B048D7">
        <w:rPr>
          <w:rFonts w:ascii="Arial" w:hAnsi="Arial" w:cs="Arial"/>
          <w:i/>
          <w:iCs/>
          <w:sz w:val="22"/>
          <w:szCs w:val="22"/>
          <w:lang w:val="es-CO" w:eastAsia="es-CO"/>
        </w:rPr>
        <w:t>Para el Seguro de Vida Grupo Deudores, se tendrán en cuenta los siguientes criterios:</w:t>
      </w:r>
    </w:p>
    <w:tbl>
      <w:tblPr>
        <w:tblW w:w="7002" w:type="dxa"/>
        <w:tblInd w:w="75" w:type="dxa"/>
        <w:tblCellMar>
          <w:left w:w="70" w:type="dxa"/>
          <w:right w:w="70" w:type="dxa"/>
        </w:tblCellMar>
        <w:tblLook w:val="04A0" w:firstRow="1" w:lastRow="0" w:firstColumn="1" w:lastColumn="0" w:noHBand="0" w:noVBand="1"/>
      </w:tblPr>
      <w:tblGrid>
        <w:gridCol w:w="5045"/>
        <w:gridCol w:w="1957"/>
      </w:tblGrid>
      <w:tr w:rsidR="00FF06AF" w:rsidRPr="00B048D7" w14:paraId="4636F9BA" w14:textId="77777777" w:rsidTr="00BB496A">
        <w:trPr>
          <w:trHeight w:val="274"/>
        </w:trPr>
        <w:tc>
          <w:tcPr>
            <w:tcW w:w="5045"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B8FEEF7" w14:textId="77777777" w:rsidR="00FF06AF" w:rsidRPr="00B048D7" w:rsidRDefault="00FF06AF" w:rsidP="00BB496A">
            <w:pPr>
              <w:jc w:val="center"/>
              <w:rPr>
                <w:rFonts w:ascii="Arial" w:hAnsi="Arial" w:cs="Arial"/>
                <w:b/>
                <w:bCs/>
                <w:color w:val="FFFFFF"/>
                <w:sz w:val="22"/>
                <w:szCs w:val="22"/>
                <w:lang w:val="es-CO" w:eastAsia="es-CO"/>
              </w:rPr>
            </w:pPr>
            <w:r w:rsidRPr="00B048D7">
              <w:rPr>
                <w:rFonts w:ascii="Arial" w:hAnsi="Arial" w:cs="Arial"/>
                <w:b/>
                <w:bCs/>
                <w:color w:val="FFFFFF"/>
                <w:sz w:val="22"/>
                <w:szCs w:val="22"/>
                <w:lang w:val="es-CO" w:eastAsia="es-CO"/>
              </w:rPr>
              <w:t xml:space="preserve">Criterio </w:t>
            </w:r>
          </w:p>
        </w:tc>
        <w:tc>
          <w:tcPr>
            <w:tcW w:w="1957" w:type="dxa"/>
            <w:tcBorders>
              <w:top w:val="single" w:sz="4" w:space="0" w:color="auto"/>
              <w:left w:val="nil"/>
              <w:bottom w:val="single" w:sz="4" w:space="0" w:color="auto"/>
              <w:right w:val="single" w:sz="4" w:space="0" w:color="auto"/>
            </w:tcBorders>
            <w:shd w:val="clear" w:color="000000" w:fill="00B050"/>
            <w:noWrap/>
            <w:vAlign w:val="center"/>
            <w:hideMark/>
          </w:tcPr>
          <w:p w14:paraId="2BCF2E7B" w14:textId="77777777" w:rsidR="00FF06AF" w:rsidRPr="00B048D7" w:rsidRDefault="00FF06AF" w:rsidP="00BB496A">
            <w:pPr>
              <w:jc w:val="center"/>
              <w:rPr>
                <w:rFonts w:ascii="Arial" w:hAnsi="Arial" w:cs="Arial"/>
                <w:b/>
                <w:bCs/>
                <w:color w:val="FFFFFF"/>
                <w:sz w:val="22"/>
                <w:szCs w:val="22"/>
                <w:lang w:val="es-CO" w:eastAsia="es-CO"/>
              </w:rPr>
            </w:pPr>
            <w:r w:rsidRPr="00B048D7">
              <w:rPr>
                <w:rFonts w:ascii="Arial" w:hAnsi="Arial" w:cs="Arial"/>
                <w:b/>
                <w:bCs/>
                <w:color w:val="FFFFFF"/>
                <w:sz w:val="22"/>
                <w:szCs w:val="22"/>
                <w:lang w:val="es-CO" w:eastAsia="es-CO"/>
              </w:rPr>
              <w:t>Puntaje</w:t>
            </w:r>
          </w:p>
        </w:tc>
      </w:tr>
      <w:tr w:rsidR="00FF06AF" w:rsidRPr="00B048D7" w14:paraId="6976D73D" w14:textId="77777777" w:rsidTr="00BB496A">
        <w:trPr>
          <w:trHeight w:val="370"/>
        </w:trPr>
        <w:tc>
          <w:tcPr>
            <w:tcW w:w="5045" w:type="dxa"/>
            <w:tcBorders>
              <w:top w:val="nil"/>
              <w:left w:val="single" w:sz="4" w:space="0" w:color="auto"/>
              <w:bottom w:val="single" w:sz="4" w:space="0" w:color="auto"/>
              <w:right w:val="single" w:sz="4" w:space="0" w:color="auto"/>
            </w:tcBorders>
            <w:vAlign w:val="bottom"/>
            <w:hideMark/>
          </w:tcPr>
          <w:p w14:paraId="461734A1" w14:textId="77777777" w:rsidR="00FF06AF" w:rsidRPr="00B048D7" w:rsidRDefault="00FF06AF" w:rsidP="00BB496A">
            <w:pPr>
              <w:rPr>
                <w:rFonts w:ascii="Arial" w:hAnsi="Arial" w:cs="Arial"/>
                <w:color w:val="000000"/>
                <w:sz w:val="22"/>
                <w:szCs w:val="22"/>
                <w:lang w:val="es-CO" w:eastAsia="es-CO"/>
              </w:rPr>
            </w:pPr>
            <w:r w:rsidRPr="00B048D7">
              <w:rPr>
                <w:rFonts w:ascii="Arial" w:hAnsi="Arial" w:cs="Arial"/>
                <w:color w:val="000000"/>
                <w:sz w:val="22"/>
                <w:szCs w:val="22"/>
                <w:lang w:val="es-CO" w:eastAsia="es-CO"/>
              </w:rPr>
              <w:t>*Recurso humano a disposición del programa.</w:t>
            </w:r>
          </w:p>
        </w:tc>
        <w:tc>
          <w:tcPr>
            <w:tcW w:w="1957" w:type="dxa"/>
            <w:tcBorders>
              <w:top w:val="nil"/>
              <w:left w:val="nil"/>
              <w:bottom w:val="single" w:sz="4" w:space="0" w:color="auto"/>
              <w:right w:val="single" w:sz="4" w:space="0" w:color="auto"/>
            </w:tcBorders>
            <w:noWrap/>
            <w:vAlign w:val="bottom"/>
            <w:hideMark/>
          </w:tcPr>
          <w:p w14:paraId="034AD916" w14:textId="77777777" w:rsidR="00FF06AF" w:rsidRPr="00B048D7" w:rsidRDefault="00FF06AF" w:rsidP="00BB496A">
            <w:pPr>
              <w:jc w:val="right"/>
              <w:rPr>
                <w:rFonts w:ascii="Arial" w:hAnsi="Arial" w:cs="Arial"/>
                <w:color w:val="000000"/>
                <w:sz w:val="22"/>
                <w:szCs w:val="22"/>
                <w:lang w:val="es-CO" w:eastAsia="es-CO"/>
              </w:rPr>
            </w:pPr>
            <w:r w:rsidRPr="00B048D7">
              <w:rPr>
                <w:rFonts w:ascii="Arial" w:hAnsi="Arial" w:cs="Arial"/>
                <w:color w:val="000000"/>
                <w:sz w:val="22"/>
                <w:szCs w:val="22"/>
                <w:lang w:val="es-CO" w:eastAsia="es-CO"/>
              </w:rPr>
              <w:t>5</w:t>
            </w:r>
          </w:p>
        </w:tc>
      </w:tr>
      <w:tr w:rsidR="00FF06AF" w:rsidRPr="00B048D7" w14:paraId="77DF31BD" w14:textId="77777777" w:rsidTr="00BB496A">
        <w:trPr>
          <w:trHeight w:val="274"/>
        </w:trPr>
        <w:tc>
          <w:tcPr>
            <w:tcW w:w="5045" w:type="dxa"/>
            <w:tcBorders>
              <w:top w:val="nil"/>
              <w:left w:val="single" w:sz="4" w:space="0" w:color="auto"/>
              <w:bottom w:val="single" w:sz="4" w:space="0" w:color="auto"/>
              <w:right w:val="single" w:sz="4" w:space="0" w:color="auto"/>
            </w:tcBorders>
            <w:noWrap/>
            <w:vAlign w:val="bottom"/>
            <w:hideMark/>
          </w:tcPr>
          <w:p w14:paraId="0F2C2C7C" w14:textId="77777777" w:rsidR="00FF06AF" w:rsidRPr="00B048D7" w:rsidRDefault="00FF06AF" w:rsidP="00BB496A">
            <w:pPr>
              <w:rPr>
                <w:rFonts w:ascii="Arial" w:hAnsi="Arial" w:cs="Arial"/>
                <w:b/>
                <w:bCs/>
                <w:color w:val="000000"/>
                <w:sz w:val="22"/>
                <w:szCs w:val="22"/>
                <w:lang w:val="es-CO" w:eastAsia="es-CO"/>
              </w:rPr>
            </w:pPr>
            <w:r w:rsidRPr="00B048D7">
              <w:rPr>
                <w:rFonts w:ascii="Arial" w:hAnsi="Arial" w:cs="Arial"/>
                <w:b/>
                <w:bCs/>
                <w:color w:val="000000"/>
                <w:sz w:val="22"/>
                <w:szCs w:val="22"/>
                <w:lang w:val="es-CO" w:eastAsia="es-CO"/>
              </w:rPr>
              <w:t>Menor tiempo de respuesta:</w:t>
            </w:r>
          </w:p>
        </w:tc>
        <w:tc>
          <w:tcPr>
            <w:tcW w:w="1957" w:type="dxa"/>
            <w:tcBorders>
              <w:top w:val="nil"/>
              <w:left w:val="nil"/>
              <w:bottom w:val="single" w:sz="4" w:space="0" w:color="auto"/>
              <w:right w:val="single" w:sz="4" w:space="0" w:color="auto"/>
            </w:tcBorders>
            <w:noWrap/>
            <w:vAlign w:val="bottom"/>
            <w:hideMark/>
          </w:tcPr>
          <w:p w14:paraId="2CB35C0D" w14:textId="77777777" w:rsidR="00FF06AF" w:rsidRPr="00B048D7" w:rsidRDefault="00FF06AF" w:rsidP="00BB496A">
            <w:pPr>
              <w:rPr>
                <w:rFonts w:ascii="Arial" w:hAnsi="Arial" w:cs="Arial"/>
                <w:color w:val="000000"/>
                <w:sz w:val="22"/>
                <w:szCs w:val="22"/>
                <w:lang w:val="es-CO" w:eastAsia="es-CO"/>
              </w:rPr>
            </w:pPr>
            <w:r w:rsidRPr="00B048D7">
              <w:rPr>
                <w:rFonts w:ascii="Arial" w:hAnsi="Arial" w:cs="Arial"/>
                <w:color w:val="000000"/>
                <w:sz w:val="22"/>
                <w:szCs w:val="22"/>
                <w:lang w:val="es-CO" w:eastAsia="es-CO"/>
              </w:rPr>
              <w:t> </w:t>
            </w:r>
          </w:p>
        </w:tc>
      </w:tr>
      <w:tr w:rsidR="00FF06AF" w:rsidRPr="00B048D7" w14:paraId="444C33D5" w14:textId="77777777" w:rsidTr="00BB496A">
        <w:trPr>
          <w:trHeight w:val="274"/>
        </w:trPr>
        <w:tc>
          <w:tcPr>
            <w:tcW w:w="5045" w:type="dxa"/>
            <w:tcBorders>
              <w:top w:val="nil"/>
              <w:left w:val="single" w:sz="4" w:space="0" w:color="auto"/>
              <w:bottom w:val="single" w:sz="4" w:space="0" w:color="auto"/>
              <w:right w:val="single" w:sz="4" w:space="0" w:color="auto"/>
            </w:tcBorders>
            <w:noWrap/>
            <w:vAlign w:val="bottom"/>
            <w:hideMark/>
          </w:tcPr>
          <w:p w14:paraId="488429C1" w14:textId="77777777" w:rsidR="00FF06AF" w:rsidRPr="00B048D7" w:rsidRDefault="00FF06AF" w:rsidP="00BB496A">
            <w:pPr>
              <w:rPr>
                <w:rFonts w:ascii="Arial" w:hAnsi="Arial" w:cs="Arial"/>
                <w:color w:val="000000"/>
                <w:sz w:val="22"/>
                <w:szCs w:val="22"/>
                <w:lang w:val="es-CO" w:eastAsia="es-CO"/>
              </w:rPr>
            </w:pPr>
            <w:r w:rsidRPr="00B048D7">
              <w:rPr>
                <w:rFonts w:ascii="Arial" w:hAnsi="Arial" w:cs="Arial"/>
                <w:color w:val="000000"/>
                <w:sz w:val="22"/>
                <w:szCs w:val="22"/>
                <w:lang w:val="es-CO" w:eastAsia="es-CO"/>
              </w:rPr>
              <w:t>* Solicitudes de inclusiones o casos especiales.</w:t>
            </w:r>
          </w:p>
        </w:tc>
        <w:tc>
          <w:tcPr>
            <w:tcW w:w="1957" w:type="dxa"/>
            <w:tcBorders>
              <w:top w:val="nil"/>
              <w:left w:val="nil"/>
              <w:bottom w:val="single" w:sz="4" w:space="0" w:color="auto"/>
              <w:right w:val="single" w:sz="4" w:space="0" w:color="auto"/>
            </w:tcBorders>
            <w:noWrap/>
            <w:vAlign w:val="bottom"/>
            <w:hideMark/>
          </w:tcPr>
          <w:p w14:paraId="1142A1F7" w14:textId="77777777" w:rsidR="00FF06AF" w:rsidRPr="00B048D7" w:rsidRDefault="00FF06AF" w:rsidP="00BB496A">
            <w:pPr>
              <w:jc w:val="right"/>
              <w:rPr>
                <w:rFonts w:ascii="Arial" w:hAnsi="Arial" w:cs="Arial"/>
                <w:color w:val="000000"/>
                <w:sz w:val="22"/>
                <w:szCs w:val="22"/>
                <w:lang w:val="es-CO" w:eastAsia="es-CO"/>
              </w:rPr>
            </w:pPr>
            <w:r w:rsidRPr="00B048D7">
              <w:rPr>
                <w:rFonts w:ascii="Arial" w:hAnsi="Arial" w:cs="Arial"/>
                <w:color w:val="000000"/>
                <w:sz w:val="22"/>
                <w:szCs w:val="22"/>
                <w:lang w:val="es-CO" w:eastAsia="es-CO"/>
              </w:rPr>
              <w:t>5</w:t>
            </w:r>
          </w:p>
        </w:tc>
      </w:tr>
      <w:tr w:rsidR="00FF06AF" w:rsidRPr="00B048D7" w14:paraId="27A517A0" w14:textId="77777777" w:rsidTr="00BB496A">
        <w:trPr>
          <w:trHeight w:val="274"/>
        </w:trPr>
        <w:tc>
          <w:tcPr>
            <w:tcW w:w="5045" w:type="dxa"/>
            <w:tcBorders>
              <w:top w:val="nil"/>
              <w:left w:val="single" w:sz="4" w:space="0" w:color="auto"/>
              <w:bottom w:val="single" w:sz="4" w:space="0" w:color="auto"/>
              <w:right w:val="single" w:sz="4" w:space="0" w:color="auto"/>
            </w:tcBorders>
            <w:noWrap/>
            <w:vAlign w:val="bottom"/>
            <w:hideMark/>
          </w:tcPr>
          <w:p w14:paraId="3A6D4793" w14:textId="77777777" w:rsidR="00FF06AF" w:rsidRPr="00B048D7" w:rsidRDefault="00FF06AF" w:rsidP="00BB496A">
            <w:pPr>
              <w:rPr>
                <w:rFonts w:ascii="Arial" w:hAnsi="Arial" w:cs="Arial"/>
                <w:color w:val="000000"/>
                <w:sz w:val="22"/>
                <w:szCs w:val="22"/>
                <w:lang w:val="es-CO" w:eastAsia="es-CO"/>
              </w:rPr>
            </w:pPr>
            <w:r w:rsidRPr="00B048D7">
              <w:rPr>
                <w:rFonts w:ascii="Arial" w:hAnsi="Arial" w:cs="Arial"/>
                <w:color w:val="000000"/>
                <w:sz w:val="22"/>
                <w:szCs w:val="22"/>
                <w:lang w:val="es-CO" w:eastAsia="es-CO"/>
              </w:rPr>
              <w:t>*Pago de siniestros</w:t>
            </w:r>
          </w:p>
        </w:tc>
        <w:tc>
          <w:tcPr>
            <w:tcW w:w="1957" w:type="dxa"/>
            <w:tcBorders>
              <w:top w:val="nil"/>
              <w:left w:val="nil"/>
              <w:bottom w:val="single" w:sz="4" w:space="0" w:color="auto"/>
              <w:right w:val="single" w:sz="4" w:space="0" w:color="auto"/>
            </w:tcBorders>
            <w:noWrap/>
            <w:vAlign w:val="bottom"/>
            <w:hideMark/>
          </w:tcPr>
          <w:p w14:paraId="0D5F9A0A" w14:textId="77777777" w:rsidR="00FF06AF" w:rsidRPr="00B048D7" w:rsidRDefault="00FF06AF" w:rsidP="00BB496A">
            <w:pPr>
              <w:jc w:val="right"/>
              <w:rPr>
                <w:rFonts w:ascii="Arial" w:hAnsi="Arial" w:cs="Arial"/>
                <w:color w:val="000000"/>
                <w:sz w:val="22"/>
                <w:szCs w:val="22"/>
                <w:lang w:val="es-CO" w:eastAsia="es-CO"/>
              </w:rPr>
            </w:pPr>
            <w:r w:rsidRPr="00B048D7">
              <w:rPr>
                <w:rFonts w:ascii="Arial" w:hAnsi="Arial" w:cs="Arial"/>
                <w:color w:val="000000"/>
                <w:sz w:val="22"/>
                <w:szCs w:val="22"/>
                <w:lang w:val="es-CO" w:eastAsia="es-CO"/>
              </w:rPr>
              <w:t>20</w:t>
            </w:r>
          </w:p>
        </w:tc>
      </w:tr>
      <w:tr w:rsidR="00FF06AF" w:rsidRPr="00B048D7" w14:paraId="35D070A6" w14:textId="77777777" w:rsidTr="00BB496A">
        <w:trPr>
          <w:trHeight w:val="274"/>
        </w:trPr>
        <w:tc>
          <w:tcPr>
            <w:tcW w:w="5045" w:type="dxa"/>
            <w:tcBorders>
              <w:top w:val="nil"/>
              <w:left w:val="single" w:sz="4" w:space="0" w:color="auto"/>
              <w:bottom w:val="single" w:sz="4" w:space="0" w:color="auto"/>
              <w:right w:val="single" w:sz="4" w:space="0" w:color="auto"/>
            </w:tcBorders>
            <w:noWrap/>
            <w:vAlign w:val="bottom"/>
            <w:hideMark/>
          </w:tcPr>
          <w:p w14:paraId="03880C20" w14:textId="77777777" w:rsidR="00FF06AF" w:rsidRPr="00B048D7" w:rsidRDefault="00FF06AF" w:rsidP="00BB496A">
            <w:pPr>
              <w:rPr>
                <w:rFonts w:ascii="Arial" w:hAnsi="Arial" w:cs="Arial"/>
                <w:b/>
                <w:bCs/>
                <w:color w:val="000000"/>
                <w:sz w:val="22"/>
                <w:szCs w:val="22"/>
                <w:lang w:val="es-CO" w:eastAsia="es-CO"/>
              </w:rPr>
            </w:pPr>
            <w:r w:rsidRPr="00B048D7">
              <w:rPr>
                <w:rFonts w:ascii="Arial" w:hAnsi="Arial" w:cs="Arial"/>
                <w:b/>
                <w:bCs/>
                <w:color w:val="000000"/>
                <w:sz w:val="22"/>
                <w:szCs w:val="22"/>
                <w:lang w:val="es-CO" w:eastAsia="es-CO"/>
              </w:rPr>
              <w:t>TOTAL</w:t>
            </w:r>
          </w:p>
        </w:tc>
        <w:tc>
          <w:tcPr>
            <w:tcW w:w="1957" w:type="dxa"/>
            <w:tcBorders>
              <w:top w:val="nil"/>
              <w:left w:val="nil"/>
              <w:bottom w:val="single" w:sz="4" w:space="0" w:color="auto"/>
              <w:right w:val="single" w:sz="4" w:space="0" w:color="auto"/>
            </w:tcBorders>
            <w:noWrap/>
            <w:vAlign w:val="bottom"/>
            <w:hideMark/>
          </w:tcPr>
          <w:p w14:paraId="1545E78B" w14:textId="77777777" w:rsidR="00FF06AF" w:rsidRPr="00B048D7" w:rsidRDefault="00FF06AF" w:rsidP="00BB496A">
            <w:pPr>
              <w:jc w:val="right"/>
              <w:rPr>
                <w:rFonts w:ascii="Arial" w:hAnsi="Arial" w:cs="Arial"/>
                <w:b/>
                <w:bCs/>
                <w:color w:val="000000"/>
                <w:sz w:val="22"/>
                <w:szCs w:val="22"/>
                <w:lang w:val="es-CO" w:eastAsia="es-CO"/>
              </w:rPr>
            </w:pPr>
            <w:r w:rsidRPr="00B048D7">
              <w:rPr>
                <w:rFonts w:ascii="Arial" w:hAnsi="Arial" w:cs="Arial"/>
                <w:b/>
                <w:bCs/>
                <w:color w:val="000000"/>
                <w:sz w:val="22"/>
                <w:szCs w:val="22"/>
                <w:lang w:val="es-CO" w:eastAsia="es-CO"/>
              </w:rPr>
              <w:t>30</w:t>
            </w:r>
          </w:p>
        </w:tc>
      </w:tr>
    </w:tbl>
    <w:p w14:paraId="1939D797" w14:textId="77777777" w:rsidR="00FF06AF" w:rsidRPr="00B048D7" w:rsidRDefault="00FF06AF" w:rsidP="00E05D1D">
      <w:pPr>
        <w:jc w:val="both"/>
        <w:rPr>
          <w:rFonts w:ascii="Arial" w:eastAsia="Times New Roman" w:hAnsi="Arial" w:cs="Arial"/>
          <w:b/>
          <w:bCs/>
          <w:sz w:val="22"/>
          <w:szCs w:val="22"/>
          <w:lang w:val="es-CO" w:eastAsia="es-ES_tradnl"/>
        </w:rPr>
      </w:pPr>
    </w:p>
    <w:p w14:paraId="21A2B502" w14:textId="2EDD62AC" w:rsidR="00FF06AF" w:rsidRPr="00B048D7" w:rsidRDefault="00FF06AF" w:rsidP="00E05D1D">
      <w:pPr>
        <w:jc w:val="both"/>
        <w:rPr>
          <w:rFonts w:ascii="Arial" w:eastAsia="Times New Roman" w:hAnsi="Arial" w:cs="Arial"/>
          <w:b/>
          <w:bCs/>
          <w:i/>
          <w:iCs/>
          <w:sz w:val="22"/>
          <w:szCs w:val="22"/>
          <w:lang w:val="es-CO" w:eastAsia="es-ES_tradnl"/>
        </w:rPr>
      </w:pPr>
      <w:r w:rsidRPr="00B048D7">
        <w:rPr>
          <w:rFonts w:ascii="Arial" w:hAnsi="Arial" w:cs="Arial"/>
          <w:i/>
          <w:iCs/>
          <w:sz w:val="22"/>
          <w:szCs w:val="22"/>
          <w:lang w:val="es-CO" w:eastAsia="es-CO"/>
        </w:rPr>
        <w:t xml:space="preserve">Para el Seguro </w:t>
      </w:r>
      <w:r w:rsidRPr="00B048D7">
        <w:rPr>
          <w:rFonts w:ascii="Arial" w:hAnsi="Arial" w:cs="Arial"/>
          <w:i/>
          <w:iCs/>
          <w:sz w:val="22"/>
          <w:szCs w:val="22"/>
          <w:lang w:val="es-CO"/>
        </w:rPr>
        <w:t>Todo Riesgo para Vehículos Productivos</w:t>
      </w:r>
      <w:r w:rsidRPr="00B048D7">
        <w:rPr>
          <w:rFonts w:ascii="Arial" w:hAnsi="Arial" w:cs="Arial"/>
          <w:i/>
          <w:iCs/>
          <w:sz w:val="22"/>
          <w:szCs w:val="22"/>
          <w:lang w:val="es-CO" w:eastAsia="es-CO"/>
        </w:rPr>
        <w:t>, se tendrán en cuenta los siguientes criterios:</w:t>
      </w:r>
    </w:p>
    <w:p w14:paraId="737333ED" w14:textId="519DACEC" w:rsidR="00FF06AF" w:rsidRPr="00B048D7" w:rsidRDefault="00FF06AF" w:rsidP="00E05D1D">
      <w:pPr>
        <w:jc w:val="both"/>
        <w:rPr>
          <w:rFonts w:ascii="Arial" w:eastAsia="Times New Roman" w:hAnsi="Arial" w:cs="Arial"/>
          <w:b/>
          <w:bCs/>
          <w:sz w:val="22"/>
          <w:szCs w:val="22"/>
          <w:lang w:val="es-CO" w:eastAsia="es-ES_tradnl"/>
        </w:rPr>
      </w:pPr>
      <w:r w:rsidRPr="00B048D7">
        <w:rPr>
          <w:rFonts w:ascii="Arial" w:hAnsi="Arial" w:cs="Arial"/>
          <w:noProof/>
          <w:sz w:val="22"/>
          <w:szCs w:val="22"/>
        </w:rPr>
        <w:drawing>
          <wp:inline distT="0" distB="0" distL="0" distR="0" wp14:anchorId="63A4DB9F" wp14:editId="6E5D8EB1">
            <wp:extent cx="4524233" cy="1352576"/>
            <wp:effectExtent l="0" t="0" r="0" b="0"/>
            <wp:docPr id="5928276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52640" cy="1361069"/>
                    </a:xfrm>
                    <a:prstGeom prst="rect">
                      <a:avLst/>
                    </a:prstGeom>
                    <a:noFill/>
                    <a:ln>
                      <a:noFill/>
                    </a:ln>
                  </pic:spPr>
                </pic:pic>
              </a:graphicData>
            </a:graphic>
          </wp:inline>
        </w:drawing>
      </w:r>
    </w:p>
    <w:p w14:paraId="794EF3C1" w14:textId="77777777" w:rsidR="00FF06AF" w:rsidRPr="00B048D7" w:rsidRDefault="00FF06AF" w:rsidP="00E05D1D">
      <w:pPr>
        <w:jc w:val="both"/>
        <w:rPr>
          <w:rFonts w:ascii="Arial" w:eastAsia="Times New Roman" w:hAnsi="Arial" w:cs="Arial"/>
          <w:b/>
          <w:bCs/>
          <w:sz w:val="22"/>
          <w:szCs w:val="22"/>
          <w:lang w:val="es-CO" w:eastAsia="es-ES_tradnl"/>
        </w:rPr>
      </w:pPr>
    </w:p>
    <w:p w14:paraId="775A7FB1" w14:textId="4C367BBB" w:rsidR="00FF06AF" w:rsidRPr="00B048D7" w:rsidRDefault="00FF06AF" w:rsidP="00FF06AF">
      <w:pPr>
        <w:jc w:val="both"/>
        <w:rPr>
          <w:rFonts w:ascii="Arial" w:hAnsi="Arial" w:cs="Arial"/>
          <w:i/>
          <w:iCs/>
          <w:sz w:val="22"/>
          <w:szCs w:val="22"/>
          <w:lang w:val="es-CO" w:eastAsia="es-CO"/>
        </w:rPr>
      </w:pPr>
      <w:r w:rsidRPr="00B048D7">
        <w:rPr>
          <w:rFonts w:ascii="Arial" w:eastAsia="Times New Roman" w:hAnsi="Arial" w:cs="Arial"/>
          <w:b/>
          <w:bCs/>
          <w:sz w:val="22"/>
          <w:szCs w:val="22"/>
          <w:lang w:val="es-CO" w:eastAsia="es-ES_tradnl"/>
        </w:rPr>
        <w:t xml:space="preserve">• </w:t>
      </w:r>
      <w:r w:rsidRPr="00B048D7">
        <w:rPr>
          <w:rFonts w:ascii="Arial" w:hAnsi="Arial" w:cs="Arial"/>
          <w:i/>
          <w:iCs/>
          <w:sz w:val="22"/>
          <w:szCs w:val="22"/>
          <w:lang w:val="es-CO" w:eastAsia="es-CO"/>
        </w:rPr>
        <w:t>Se verificará que la aseguradora proponente haya adjuntado una propuesta de estándares de atención, servicio y oportunidad.</w:t>
      </w:r>
    </w:p>
    <w:p w14:paraId="65E19785" w14:textId="5E34994A" w:rsidR="00FF06AF" w:rsidRPr="00B048D7" w:rsidRDefault="00FF06AF" w:rsidP="00FF06AF">
      <w:pPr>
        <w:jc w:val="both"/>
        <w:rPr>
          <w:rFonts w:ascii="Arial" w:hAnsi="Arial" w:cs="Arial"/>
          <w:i/>
          <w:iCs/>
          <w:sz w:val="22"/>
          <w:szCs w:val="22"/>
          <w:lang w:val="es-CO" w:eastAsia="es-CO"/>
        </w:rPr>
      </w:pPr>
      <w:r w:rsidRPr="00B048D7">
        <w:rPr>
          <w:rFonts w:ascii="Arial" w:hAnsi="Arial" w:cs="Arial"/>
          <w:i/>
          <w:iCs/>
          <w:sz w:val="22"/>
          <w:szCs w:val="22"/>
          <w:lang w:val="es-CO" w:eastAsia="es-CO"/>
        </w:rPr>
        <w:t>• Se comparará dicha propuesta por cada una de las aseguradoras y se otorgará un puntaje a cada uno de los aspectos presentados.</w:t>
      </w:r>
    </w:p>
    <w:p w14:paraId="1A7EAAA7" w14:textId="77D7EC8B" w:rsidR="00FF06AF" w:rsidRPr="00B048D7" w:rsidRDefault="00FF06AF" w:rsidP="00FF06AF">
      <w:pPr>
        <w:jc w:val="both"/>
        <w:rPr>
          <w:rFonts w:ascii="Arial" w:hAnsi="Arial" w:cs="Arial"/>
          <w:i/>
          <w:iCs/>
          <w:sz w:val="22"/>
          <w:szCs w:val="22"/>
          <w:lang w:val="es-CO" w:eastAsia="es-CO"/>
        </w:rPr>
      </w:pPr>
      <w:r w:rsidRPr="00B048D7">
        <w:rPr>
          <w:rFonts w:ascii="Arial" w:hAnsi="Arial" w:cs="Arial"/>
          <w:i/>
          <w:iCs/>
          <w:sz w:val="22"/>
          <w:szCs w:val="22"/>
          <w:lang w:val="es-CO" w:eastAsia="es-CO"/>
        </w:rPr>
        <w:t>• La propuesta con mejor puntuación en estándares de atención, servicio y oportunidad se le otorgarán los 30 puntos de este criterio de acuerdo con lo que oferte cada aseguradora en cada uno de los criterios.</w:t>
      </w:r>
    </w:p>
    <w:p w14:paraId="08657A46" w14:textId="0FCB0A81" w:rsidR="00FF06AF" w:rsidRPr="00B048D7" w:rsidRDefault="00FF06AF" w:rsidP="00FF06AF">
      <w:pPr>
        <w:jc w:val="both"/>
        <w:rPr>
          <w:rFonts w:ascii="Arial" w:hAnsi="Arial" w:cs="Arial"/>
          <w:i/>
          <w:iCs/>
          <w:sz w:val="22"/>
          <w:szCs w:val="22"/>
          <w:lang w:val="es-CO" w:eastAsia="es-CO"/>
        </w:rPr>
      </w:pPr>
      <w:r w:rsidRPr="00B048D7">
        <w:rPr>
          <w:rFonts w:ascii="Arial" w:hAnsi="Arial" w:cs="Arial"/>
          <w:i/>
          <w:iCs/>
          <w:sz w:val="22"/>
          <w:szCs w:val="22"/>
          <w:lang w:val="es-CO" w:eastAsia="es-CO"/>
        </w:rPr>
        <w:t>• Se evaluará cada criterio indicado en el Anexo 6, otorgando el puntaje máximo a quien brinde la mejor oferta en ese criterio.</w:t>
      </w:r>
    </w:p>
    <w:p w14:paraId="38108C59" w14:textId="5D97D375" w:rsidR="00FF06AF" w:rsidRPr="00B048D7" w:rsidRDefault="00FF06AF" w:rsidP="00FF06AF">
      <w:pPr>
        <w:jc w:val="both"/>
        <w:rPr>
          <w:rFonts w:ascii="Arial" w:hAnsi="Arial" w:cs="Arial"/>
          <w:i/>
          <w:iCs/>
          <w:sz w:val="22"/>
          <w:szCs w:val="22"/>
          <w:lang w:val="es-CO" w:eastAsia="es-CO"/>
        </w:rPr>
      </w:pPr>
      <w:r w:rsidRPr="00B048D7">
        <w:rPr>
          <w:rFonts w:ascii="Arial" w:hAnsi="Arial" w:cs="Arial"/>
          <w:i/>
          <w:iCs/>
          <w:sz w:val="22"/>
          <w:szCs w:val="22"/>
          <w:lang w:val="es-CO" w:eastAsia="es-CO"/>
        </w:rPr>
        <w:t>• Las demás aseguradoras proponentes obtendrán un puntaje que será proporcional a la calificación obtenida por la mejor oferta.</w:t>
      </w:r>
    </w:p>
    <w:p w14:paraId="6EBE093A" w14:textId="5B8D0C72" w:rsidR="00FF06AF" w:rsidRPr="00B048D7" w:rsidRDefault="00FF06AF" w:rsidP="00FF06AF">
      <w:pPr>
        <w:jc w:val="both"/>
        <w:rPr>
          <w:rFonts w:ascii="Arial" w:eastAsia="Times New Roman" w:hAnsi="Arial" w:cs="Arial"/>
          <w:b/>
          <w:bCs/>
          <w:i/>
          <w:iCs/>
          <w:sz w:val="22"/>
          <w:szCs w:val="22"/>
          <w:lang w:val="es-CO" w:eastAsia="es-ES_tradnl"/>
        </w:rPr>
      </w:pPr>
      <w:r w:rsidRPr="00B048D7">
        <w:rPr>
          <w:rFonts w:ascii="Arial" w:hAnsi="Arial" w:cs="Arial"/>
          <w:i/>
          <w:iCs/>
          <w:sz w:val="22"/>
          <w:szCs w:val="22"/>
          <w:lang w:val="es-CO" w:eastAsia="es-CO"/>
        </w:rPr>
        <w:lastRenderedPageBreak/>
        <w:t>• Los puntajes obtenidos en cada uno de los criterios se sumarán para obtener la calificación de Condiciones Adicionales, que como se ha señalado tiene un máximo de 30 puntos</w:t>
      </w:r>
      <w:r w:rsidRPr="00B048D7">
        <w:rPr>
          <w:rFonts w:ascii="Arial" w:eastAsia="Times New Roman" w:hAnsi="Arial" w:cs="Arial"/>
          <w:b/>
          <w:bCs/>
          <w:i/>
          <w:iCs/>
          <w:sz w:val="22"/>
          <w:szCs w:val="22"/>
          <w:lang w:val="es-CO" w:eastAsia="es-ES_tradnl"/>
        </w:rPr>
        <w:t>.</w:t>
      </w:r>
    </w:p>
    <w:p w14:paraId="2018D8C3" w14:textId="77777777" w:rsidR="00FF06AF" w:rsidRPr="00B048D7" w:rsidRDefault="00FF06AF" w:rsidP="00E05D1D">
      <w:pPr>
        <w:jc w:val="both"/>
        <w:rPr>
          <w:rFonts w:ascii="Arial" w:eastAsia="Times New Roman" w:hAnsi="Arial" w:cs="Arial"/>
          <w:b/>
          <w:bCs/>
          <w:sz w:val="22"/>
          <w:szCs w:val="22"/>
          <w:lang w:val="es-CO" w:eastAsia="es-ES_tradnl"/>
        </w:rPr>
      </w:pPr>
    </w:p>
    <w:p w14:paraId="3774906C" w14:textId="77777777" w:rsidR="00094564" w:rsidRPr="00B048D7" w:rsidRDefault="00094564" w:rsidP="00094564">
      <w:pPr>
        <w:jc w:val="both"/>
        <w:rPr>
          <w:rFonts w:ascii="Arial" w:eastAsia="Times New Roman" w:hAnsi="Arial" w:cs="Arial"/>
          <w:sz w:val="22"/>
          <w:szCs w:val="22"/>
          <w:lang w:val="es-CO" w:eastAsia="es-ES_tradnl"/>
        </w:rPr>
      </w:pPr>
    </w:p>
    <w:p w14:paraId="67E66DED" w14:textId="06183A8F" w:rsidR="00094564" w:rsidRPr="00B048D7" w:rsidRDefault="00094564" w:rsidP="00094564">
      <w:pPr>
        <w:pStyle w:val="Prrafodelista"/>
        <w:numPr>
          <w:ilvl w:val="2"/>
          <w:numId w:val="8"/>
        </w:numPr>
        <w:rPr>
          <w:rFonts w:ascii="Arial" w:hAnsi="Arial" w:cs="Arial"/>
          <w:i/>
          <w:iCs/>
          <w:sz w:val="22"/>
          <w:szCs w:val="22"/>
        </w:rPr>
      </w:pPr>
      <w:r w:rsidRPr="00B048D7">
        <w:rPr>
          <w:rFonts w:ascii="Arial" w:hAnsi="Arial" w:cs="Arial"/>
          <w:i/>
          <w:iCs/>
          <w:sz w:val="22"/>
          <w:szCs w:val="22"/>
        </w:rPr>
        <w:t xml:space="preserve">Valores </w:t>
      </w:r>
      <w:proofErr w:type="spellStart"/>
      <w:r w:rsidRPr="00B048D7">
        <w:rPr>
          <w:rFonts w:ascii="Arial" w:hAnsi="Arial" w:cs="Arial"/>
          <w:i/>
          <w:iCs/>
          <w:sz w:val="22"/>
          <w:szCs w:val="22"/>
        </w:rPr>
        <w:t>agregados</w:t>
      </w:r>
      <w:proofErr w:type="spellEnd"/>
      <w:r w:rsidRPr="00B048D7">
        <w:rPr>
          <w:rFonts w:ascii="Arial" w:hAnsi="Arial" w:cs="Arial"/>
          <w:i/>
          <w:iCs/>
          <w:sz w:val="22"/>
          <w:szCs w:val="22"/>
        </w:rPr>
        <w:t>:</w:t>
      </w:r>
    </w:p>
    <w:p w14:paraId="51CEAC8E" w14:textId="77777777" w:rsidR="008D502B" w:rsidRPr="00B048D7" w:rsidRDefault="008D502B" w:rsidP="00094564">
      <w:pPr>
        <w:autoSpaceDE w:val="0"/>
        <w:autoSpaceDN w:val="0"/>
        <w:adjustRightInd w:val="0"/>
        <w:jc w:val="both"/>
        <w:rPr>
          <w:rFonts w:ascii="Arial" w:hAnsi="Arial" w:cs="Arial"/>
          <w:i/>
          <w:iCs/>
          <w:sz w:val="22"/>
          <w:szCs w:val="22"/>
          <w:lang w:val="es-CO" w:eastAsia="es-CO"/>
        </w:rPr>
      </w:pPr>
    </w:p>
    <w:p w14:paraId="0A11206A" w14:textId="348B9810" w:rsidR="00D21B8D" w:rsidRPr="00B048D7" w:rsidRDefault="00094564" w:rsidP="00094564">
      <w:pPr>
        <w:autoSpaceDE w:val="0"/>
        <w:autoSpaceDN w:val="0"/>
        <w:adjustRightInd w:val="0"/>
        <w:jc w:val="both"/>
        <w:rPr>
          <w:rFonts w:ascii="Arial" w:hAnsi="Arial" w:cs="Arial"/>
          <w:i/>
          <w:iCs/>
          <w:sz w:val="22"/>
          <w:szCs w:val="22"/>
          <w:lang w:val="es-CO" w:eastAsia="es-CO"/>
        </w:rPr>
      </w:pPr>
      <w:r w:rsidRPr="00B048D7">
        <w:rPr>
          <w:rFonts w:ascii="Arial" w:hAnsi="Arial" w:cs="Arial"/>
          <w:i/>
          <w:iCs/>
          <w:sz w:val="22"/>
          <w:szCs w:val="22"/>
          <w:lang w:val="es-CO" w:eastAsia="es-CO"/>
        </w:rPr>
        <w:t>La aseguradora proponente presentará su portafolio de valores agregados</w:t>
      </w:r>
      <w:r w:rsidR="00D21B8D" w:rsidRPr="00B048D7">
        <w:rPr>
          <w:rFonts w:ascii="Arial" w:hAnsi="Arial" w:cs="Arial"/>
          <w:i/>
          <w:iCs/>
          <w:sz w:val="22"/>
          <w:szCs w:val="22"/>
          <w:lang w:val="es-CO" w:eastAsia="es-CO"/>
        </w:rPr>
        <w:t xml:space="preserve"> para los Seguro de Vida Grupo Deudores</w:t>
      </w:r>
      <w:r w:rsidRPr="00B048D7">
        <w:rPr>
          <w:rFonts w:ascii="Arial" w:hAnsi="Arial" w:cs="Arial"/>
          <w:i/>
          <w:iCs/>
          <w:sz w:val="22"/>
          <w:szCs w:val="22"/>
          <w:lang w:val="es-CO" w:eastAsia="es-CO"/>
        </w:rPr>
        <w:t xml:space="preserve"> </w:t>
      </w:r>
      <w:r w:rsidR="00D21B8D" w:rsidRPr="00B048D7">
        <w:rPr>
          <w:rFonts w:ascii="Arial" w:hAnsi="Arial" w:cs="Arial"/>
          <w:i/>
          <w:iCs/>
          <w:sz w:val="22"/>
          <w:szCs w:val="22"/>
          <w:lang w:val="es-CO" w:eastAsia="es-CO"/>
        </w:rPr>
        <w:t xml:space="preserve">y para los Seguro </w:t>
      </w:r>
      <w:r w:rsidR="00D21B8D" w:rsidRPr="00B048D7">
        <w:rPr>
          <w:rFonts w:ascii="Arial" w:hAnsi="Arial" w:cs="Arial"/>
          <w:i/>
          <w:iCs/>
          <w:sz w:val="22"/>
          <w:szCs w:val="22"/>
          <w:lang w:val="es-CO"/>
        </w:rPr>
        <w:t>Todo Riesgo para Vehículos Productivos</w:t>
      </w:r>
      <w:r w:rsidR="00D21B8D" w:rsidRPr="00B048D7">
        <w:rPr>
          <w:rFonts w:ascii="Arial" w:hAnsi="Arial" w:cs="Arial"/>
          <w:i/>
          <w:iCs/>
          <w:sz w:val="22"/>
          <w:szCs w:val="22"/>
          <w:lang w:val="es-CO" w:eastAsia="es-CO"/>
        </w:rPr>
        <w:t xml:space="preserve"> en el formato de su elección, debidamente suscrito por su representante legal, según lo requerido en el </w:t>
      </w:r>
      <w:r w:rsidR="00D21B8D" w:rsidRPr="00B048D7">
        <w:rPr>
          <w:rFonts w:ascii="Arial" w:hAnsi="Arial" w:cs="Arial"/>
          <w:b/>
          <w:bCs/>
          <w:i/>
          <w:iCs/>
          <w:sz w:val="22"/>
          <w:szCs w:val="22"/>
          <w:lang w:val="es-CO" w:eastAsia="es-CO"/>
        </w:rPr>
        <w:t>Anexo 6.</w:t>
      </w:r>
      <w:r w:rsidR="00D21B8D" w:rsidRPr="00B048D7">
        <w:rPr>
          <w:rFonts w:ascii="Arial" w:hAnsi="Arial" w:cs="Arial"/>
          <w:i/>
          <w:iCs/>
          <w:sz w:val="22"/>
          <w:szCs w:val="22"/>
          <w:lang w:val="es-CO" w:eastAsia="es-CO"/>
        </w:rPr>
        <w:t xml:space="preserve"> La aseguradora establecerá los criterios y valores agregados que considere que mejora la experiencia de Iris CF y de sus clientes.</w:t>
      </w:r>
    </w:p>
    <w:p w14:paraId="1CD0ACB9" w14:textId="77777777" w:rsidR="00D21B8D" w:rsidRPr="00B048D7" w:rsidRDefault="00D21B8D" w:rsidP="00094564">
      <w:pPr>
        <w:autoSpaceDE w:val="0"/>
        <w:autoSpaceDN w:val="0"/>
        <w:adjustRightInd w:val="0"/>
        <w:jc w:val="both"/>
        <w:rPr>
          <w:rFonts w:ascii="Arial" w:hAnsi="Arial" w:cs="Arial"/>
          <w:i/>
          <w:iCs/>
          <w:sz w:val="22"/>
          <w:szCs w:val="22"/>
          <w:lang w:val="es-CO" w:eastAsia="es-CO"/>
        </w:rPr>
      </w:pPr>
    </w:p>
    <w:p w14:paraId="003CA619" w14:textId="77777777" w:rsidR="00094564" w:rsidRPr="00B048D7" w:rsidRDefault="00094564" w:rsidP="00094564">
      <w:pPr>
        <w:jc w:val="both"/>
        <w:rPr>
          <w:rFonts w:ascii="Arial" w:eastAsia="Times New Roman" w:hAnsi="Arial" w:cs="Arial"/>
          <w:i/>
          <w:iCs/>
          <w:sz w:val="22"/>
          <w:szCs w:val="22"/>
          <w:lang w:val="es-CO" w:eastAsia="es-ES_tradnl"/>
        </w:rPr>
      </w:pPr>
      <w:r w:rsidRPr="00B048D7">
        <w:rPr>
          <w:rFonts w:ascii="Arial" w:eastAsia="Times New Roman" w:hAnsi="Arial" w:cs="Arial"/>
          <w:i/>
          <w:iCs/>
          <w:sz w:val="22"/>
          <w:szCs w:val="22"/>
          <w:lang w:val="es-CO" w:eastAsia="es-ES_tradnl"/>
        </w:rPr>
        <w:t>•</w:t>
      </w:r>
      <w:r w:rsidRPr="00B048D7">
        <w:rPr>
          <w:rFonts w:ascii="Arial" w:eastAsia="Times New Roman" w:hAnsi="Arial" w:cs="Arial"/>
          <w:i/>
          <w:iCs/>
          <w:sz w:val="22"/>
          <w:szCs w:val="22"/>
          <w:lang w:val="es-CO" w:eastAsia="es-ES_tradnl"/>
        </w:rPr>
        <w:tab/>
        <w:t>Se verificará que la aseguradora proponente haya adjuntado una propuesta de valores agregados</w:t>
      </w:r>
    </w:p>
    <w:p w14:paraId="31BCCFD8" w14:textId="77777777" w:rsidR="00094564" w:rsidRPr="00B048D7" w:rsidRDefault="00094564" w:rsidP="00094564">
      <w:pPr>
        <w:jc w:val="both"/>
        <w:rPr>
          <w:rFonts w:ascii="Arial" w:eastAsia="Times New Roman" w:hAnsi="Arial" w:cs="Arial"/>
          <w:i/>
          <w:iCs/>
          <w:sz w:val="22"/>
          <w:szCs w:val="22"/>
          <w:lang w:val="es-CO" w:eastAsia="es-ES_tradnl"/>
        </w:rPr>
      </w:pPr>
      <w:r w:rsidRPr="00B048D7">
        <w:rPr>
          <w:rFonts w:ascii="Arial" w:eastAsia="Times New Roman" w:hAnsi="Arial" w:cs="Arial"/>
          <w:i/>
          <w:iCs/>
          <w:sz w:val="22"/>
          <w:szCs w:val="22"/>
          <w:lang w:val="es-CO" w:eastAsia="es-ES_tradnl"/>
        </w:rPr>
        <w:t>•</w:t>
      </w:r>
      <w:r w:rsidRPr="00B048D7">
        <w:rPr>
          <w:rFonts w:ascii="Arial" w:eastAsia="Times New Roman" w:hAnsi="Arial" w:cs="Arial"/>
          <w:i/>
          <w:iCs/>
          <w:sz w:val="22"/>
          <w:szCs w:val="22"/>
          <w:lang w:val="es-CO" w:eastAsia="es-ES_tradnl"/>
        </w:rPr>
        <w:tab/>
        <w:t xml:space="preserve">Se compararán los servicios propuestos por cada una de las aseguradoras y se otorgará un puntaje a cada uno de los aspectos presentados. </w:t>
      </w:r>
    </w:p>
    <w:p w14:paraId="337E653E" w14:textId="77777777" w:rsidR="00094564" w:rsidRPr="00B048D7" w:rsidRDefault="00094564" w:rsidP="00094564">
      <w:pPr>
        <w:jc w:val="both"/>
        <w:rPr>
          <w:rFonts w:ascii="Arial" w:eastAsia="Times New Roman" w:hAnsi="Arial" w:cs="Arial"/>
          <w:i/>
          <w:iCs/>
          <w:sz w:val="22"/>
          <w:szCs w:val="22"/>
          <w:lang w:val="es-CO" w:eastAsia="es-ES_tradnl"/>
        </w:rPr>
      </w:pPr>
      <w:r w:rsidRPr="00B048D7">
        <w:rPr>
          <w:rFonts w:ascii="Arial" w:eastAsia="Times New Roman" w:hAnsi="Arial" w:cs="Arial"/>
          <w:i/>
          <w:iCs/>
          <w:sz w:val="22"/>
          <w:szCs w:val="22"/>
          <w:lang w:val="es-CO" w:eastAsia="es-ES_tradnl"/>
        </w:rPr>
        <w:t>•</w:t>
      </w:r>
      <w:r w:rsidRPr="00B048D7">
        <w:rPr>
          <w:rFonts w:ascii="Arial" w:eastAsia="Times New Roman" w:hAnsi="Arial" w:cs="Arial"/>
          <w:i/>
          <w:iCs/>
          <w:sz w:val="22"/>
          <w:szCs w:val="22"/>
          <w:lang w:val="es-CO" w:eastAsia="es-ES_tradnl"/>
        </w:rPr>
        <w:tab/>
        <w:t>La propuesta con mejor puntuación en cuanto a valores agregados, se le otorgarán los 30 puntos de este criterio y a las demás aseguradoras los puntos correspondientes proporcionalmente.</w:t>
      </w:r>
    </w:p>
    <w:p w14:paraId="2B61B230" w14:textId="77777777" w:rsidR="00094564" w:rsidRPr="00B048D7" w:rsidRDefault="00094564" w:rsidP="00094564">
      <w:pPr>
        <w:jc w:val="both"/>
        <w:rPr>
          <w:rFonts w:ascii="Arial" w:hAnsi="Arial" w:cs="Arial"/>
          <w:i/>
          <w:iCs/>
          <w:color w:val="1F497D"/>
          <w:sz w:val="22"/>
          <w:szCs w:val="22"/>
          <w:shd w:val="clear" w:color="auto" w:fill="FFFFFF"/>
          <w:lang w:val="es-CO"/>
        </w:rPr>
      </w:pPr>
    </w:p>
    <w:p w14:paraId="7C09F55E" w14:textId="6E255F25" w:rsidR="00E05D1D" w:rsidRPr="00B048D7" w:rsidRDefault="007B5F3B" w:rsidP="00E05D1D">
      <w:pPr>
        <w:jc w:val="both"/>
        <w:rPr>
          <w:rFonts w:ascii="Arial" w:hAnsi="Arial" w:cs="Arial"/>
          <w:color w:val="000000"/>
          <w:sz w:val="22"/>
          <w:szCs w:val="22"/>
          <w:lang w:val="es-CO" w:eastAsia="es-CO"/>
        </w:rPr>
      </w:pPr>
      <w:r w:rsidRPr="00B048D7">
        <w:rPr>
          <w:rFonts w:ascii="Arial" w:eastAsia="Times New Roman" w:hAnsi="Arial" w:cs="Arial"/>
          <w:b/>
          <w:bCs/>
          <w:sz w:val="22"/>
          <w:szCs w:val="22"/>
          <w:lang w:val="es-CO" w:eastAsia="es-ES_tradnl"/>
        </w:rPr>
        <w:t>CUARTA</w:t>
      </w:r>
      <w:r w:rsidR="001D489E" w:rsidRPr="00B048D7">
        <w:rPr>
          <w:rFonts w:ascii="Arial" w:eastAsia="Times New Roman" w:hAnsi="Arial" w:cs="Arial"/>
          <w:b/>
          <w:bCs/>
          <w:sz w:val="22"/>
          <w:szCs w:val="22"/>
          <w:lang w:val="es-CO" w:eastAsia="es-ES_tradnl"/>
        </w:rPr>
        <w:t>:</w:t>
      </w:r>
      <w:r w:rsidR="001D489E" w:rsidRPr="00B048D7">
        <w:rPr>
          <w:rFonts w:ascii="Arial" w:hAnsi="Arial" w:cs="Arial"/>
          <w:color w:val="1F497D"/>
          <w:sz w:val="22"/>
          <w:szCs w:val="22"/>
          <w:shd w:val="clear" w:color="auto" w:fill="FFFFFF"/>
          <w:lang w:val="es-CO"/>
        </w:rPr>
        <w:t xml:space="preserve"> </w:t>
      </w:r>
      <w:r w:rsidR="001D489E" w:rsidRPr="00B048D7">
        <w:rPr>
          <w:rFonts w:ascii="Arial" w:eastAsia="Times New Roman" w:hAnsi="Arial" w:cs="Arial"/>
          <w:sz w:val="22"/>
          <w:szCs w:val="22"/>
          <w:lang w:val="es-CO" w:eastAsia="es-ES_tradnl"/>
        </w:rPr>
        <w:t>Se modifica</w:t>
      </w:r>
      <w:r w:rsidR="00E05D1D" w:rsidRPr="00B048D7">
        <w:rPr>
          <w:rFonts w:ascii="Arial" w:eastAsia="Times New Roman" w:hAnsi="Arial" w:cs="Arial"/>
          <w:sz w:val="22"/>
          <w:szCs w:val="22"/>
          <w:lang w:val="es-CO" w:eastAsia="es-ES_tradnl"/>
        </w:rPr>
        <w:t xml:space="preserve"> el numeral </w:t>
      </w:r>
      <w:r w:rsidR="00E05D1D" w:rsidRPr="00B048D7">
        <w:rPr>
          <w:rFonts w:ascii="Arial" w:eastAsia="Times New Roman" w:hAnsi="Arial" w:cs="Arial"/>
          <w:b/>
          <w:bCs/>
          <w:sz w:val="22"/>
          <w:szCs w:val="22"/>
          <w:lang w:val="es-CO" w:eastAsia="es-ES_tradnl"/>
        </w:rPr>
        <w:t>22. ENTREGA DE DOCUMENTACIÓN BÁSICA POR PARTE DE LA ASEGURADORA ADJUDICATARIA</w:t>
      </w:r>
      <w:r w:rsidR="00E05D1D" w:rsidRPr="00B048D7">
        <w:rPr>
          <w:rFonts w:ascii="Arial" w:hAnsi="Arial" w:cs="Arial"/>
          <w:color w:val="000000"/>
          <w:sz w:val="22"/>
          <w:szCs w:val="22"/>
          <w:lang w:val="es-CO" w:eastAsia="es-CO"/>
        </w:rPr>
        <w:t xml:space="preserve"> del </w:t>
      </w:r>
      <w:r w:rsidR="00E05D1D" w:rsidRPr="00B048D7">
        <w:rPr>
          <w:rFonts w:ascii="Arial" w:hAnsi="Arial" w:cs="Arial"/>
          <w:b/>
          <w:bCs/>
          <w:color w:val="000000"/>
          <w:sz w:val="22"/>
          <w:szCs w:val="22"/>
          <w:lang w:val="es-CO" w:eastAsia="es-CO"/>
        </w:rPr>
        <w:t>CAPITULO I ASPECTOS FUNDAMENTALES</w:t>
      </w:r>
      <w:r w:rsidR="00E05D1D" w:rsidRPr="00B048D7">
        <w:rPr>
          <w:rFonts w:ascii="Arial" w:hAnsi="Arial" w:cs="Arial"/>
          <w:color w:val="000000"/>
          <w:sz w:val="22"/>
          <w:szCs w:val="22"/>
          <w:lang w:val="es-CO" w:eastAsia="es-CO"/>
        </w:rPr>
        <w:t>, el cual en adelante se entenderá así:</w:t>
      </w:r>
    </w:p>
    <w:p w14:paraId="58FCC5A4" w14:textId="77777777" w:rsidR="00E05D1D" w:rsidRPr="00B048D7" w:rsidRDefault="00E05D1D" w:rsidP="00E05D1D">
      <w:pPr>
        <w:jc w:val="both"/>
        <w:rPr>
          <w:rFonts w:ascii="Arial" w:hAnsi="Arial" w:cs="Arial"/>
          <w:sz w:val="22"/>
          <w:szCs w:val="22"/>
          <w:lang w:val="es-CO"/>
        </w:rPr>
      </w:pPr>
    </w:p>
    <w:p w14:paraId="02A8E6C0" w14:textId="0D282AC0" w:rsidR="00E05D1D" w:rsidRPr="00B048D7" w:rsidRDefault="00E05D1D" w:rsidP="00E05D1D">
      <w:pPr>
        <w:jc w:val="both"/>
        <w:rPr>
          <w:rFonts w:ascii="Arial" w:hAnsi="Arial" w:cs="Arial"/>
          <w:i/>
          <w:iCs/>
          <w:sz w:val="22"/>
          <w:szCs w:val="22"/>
          <w:lang w:val="es-CO"/>
        </w:rPr>
      </w:pPr>
      <w:r w:rsidRPr="00B048D7">
        <w:rPr>
          <w:rFonts w:ascii="Arial" w:hAnsi="Arial" w:cs="Arial"/>
          <w:i/>
          <w:iCs/>
          <w:sz w:val="22"/>
          <w:szCs w:val="22"/>
          <w:lang w:val="es-CO"/>
        </w:rPr>
        <w:t>La aseguradora adjudicataria deberá entregar en el plazo establecido en el cronograma y al correo electrónico licitaciones@iris.com.co, la siguiente información:</w:t>
      </w:r>
    </w:p>
    <w:p w14:paraId="24A91517" w14:textId="77777777" w:rsidR="00E05D1D" w:rsidRPr="00B048D7" w:rsidRDefault="00E05D1D" w:rsidP="00E05D1D">
      <w:pPr>
        <w:jc w:val="both"/>
        <w:rPr>
          <w:rFonts w:ascii="Arial" w:hAnsi="Arial" w:cs="Arial"/>
          <w:i/>
          <w:iCs/>
          <w:sz w:val="22"/>
          <w:szCs w:val="22"/>
          <w:lang w:val="es-CO"/>
        </w:rPr>
      </w:pPr>
    </w:p>
    <w:p w14:paraId="059AD5D3" w14:textId="22B04AA4" w:rsidR="00E05D1D" w:rsidRPr="00B048D7" w:rsidRDefault="00E05D1D" w:rsidP="00E05D1D">
      <w:pPr>
        <w:ind w:left="720"/>
        <w:jc w:val="both"/>
        <w:rPr>
          <w:rFonts w:ascii="Arial" w:hAnsi="Arial" w:cs="Arial"/>
          <w:i/>
          <w:iCs/>
          <w:sz w:val="22"/>
          <w:szCs w:val="22"/>
          <w:lang w:val="es-CO"/>
        </w:rPr>
      </w:pPr>
      <w:r w:rsidRPr="00B048D7">
        <w:rPr>
          <w:rFonts w:ascii="Arial" w:hAnsi="Arial" w:cs="Arial"/>
          <w:i/>
          <w:iCs/>
          <w:sz w:val="22"/>
          <w:szCs w:val="22"/>
          <w:lang w:val="es-CO"/>
        </w:rPr>
        <w:t xml:space="preserve">• Las pólizas matrices con sus clausulados generales y condiciones particulares:    en formato </w:t>
      </w:r>
      <w:proofErr w:type="spellStart"/>
      <w:r w:rsidRPr="00B048D7">
        <w:rPr>
          <w:rFonts w:ascii="Arial" w:hAnsi="Arial" w:cs="Arial"/>
          <w:i/>
          <w:iCs/>
          <w:sz w:val="22"/>
          <w:szCs w:val="22"/>
          <w:lang w:val="es-CO"/>
        </w:rPr>
        <w:t>pdf</w:t>
      </w:r>
      <w:proofErr w:type="spellEnd"/>
      <w:r w:rsidRPr="00B048D7">
        <w:rPr>
          <w:rFonts w:ascii="Arial" w:hAnsi="Arial" w:cs="Arial"/>
          <w:i/>
          <w:iCs/>
          <w:sz w:val="22"/>
          <w:szCs w:val="22"/>
          <w:lang w:val="es-CO"/>
        </w:rPr>
        <w:t>.</w:t>
      </w:r>
    </w:p>
    <w:p w14:paraId="2009A831" w14:textId="65EE129E" w:rsidR="00E05D1D" w:rsidRPr="00B048D7" w:rsidRDefault="00E05D1D" w:rsidP="00E05D1D">
      <w:pPr>
        <w:ind w:left="720"/>
        <w:jc w:val="both"/>
        <w:rPr>
          <w:rFonts w:ascii="Arial" w:hAnsi="Arial" w:cs="Arial"/>
          <w:i/>
          <w:iCs/>
          <w:sz w:val="22"/>
          <w:szCs w:val="22"/>
          <w:lang w:val="es-CO"/>
        </w:rPr>
      </w:pPr>
      <w:r w:rsidRPr="00B048D7">
        <w:rPr>
          <w:rFonts w:ascii="Arial" w:hAnsi="Arial" w:cs="Arial"/>
          <w:i/>
          <w:iCs/>
          <w:sz w:val="22"/>
          <w:szCs w:val="22"/>
          <w:lang w:val="es-CO"/>
        </w:rPr>
        <w:t xml:space="preserve">• Notas de cobertura: en formato </w:t>
      </w:r>
      <w:proofErr w:type="spellStart"/>
      <w:r w:rsidRPr="00B048D7">
        <w:rPr>
          <w:rFonts w:ascii="Arial" w:hAnsi="Arial" w:cs="Arial"/>
          <w:i/>
          <w:iCs/>
          <w:sz w:val="22"/>
          <w:szCs w:val="22"/>
          <w:lang w:val="es-CO"/>
        </w:rPr>
        <w:t>pdf</w:t>
      </w:r>
      <w:proofErr w:type="spellEnd"/>
      <w:r w:rsidRPr="00B048D7">
        <w:rPr>
          <w:rFonts w:ascii="Arial" w:hAnsi="Arial" w:cs="Arial"/>
          <w:i/>
          <w:iCs/>
          <w:sz w:val="22"/>
          <w:szCs w:val="22"/>
          <w:lang w:val="es-CO"/>
        </w:rPr>
        <w:t>.</w:t>
      </w:r>
    </w:p>
    <w:p w14:paraId="2D861D8B" w14:textId="794D2F35" w:rsidR="00E05D1D" w:rsidRPr="00B048D7" w:rsidRDefault="00E05D1D" w:rsidP="00E05D1D">
      <w:pPr>
        <w:ind w:left="720"/>
        <w:jc w:val="both"/>
        <w:rPr>
          <w:rFonts w:ascii="Arial" w:hAnsi="Arial" w:cs="Arial"/>
          <w:i/>
          <w:iCs/>
          <w:sz w:val="22"/>
          <w:szCs w:val="22"/>
          <w:lang w:val="es-CO"/>
        </w:rPr>
      </w:pPr>
      <w:r w:rsidRPr="00B048D7">
        <w:rPr>
          <w:rFonts w:ascii="Arial" w:hAnsi="Arial" w:cs="Arial"/>
          <w:i/>
          <w:iCs/>
          <w:sz w:val="22"/>
          <w:szCs w:val="22"/>
          <w:lang w:val="es-CO"/>
        </w:rPr>
        <w:t>• Póliza de cumplimiento y Soporte de pago.</w:t>
      </w:r>
    </w:p>
    <w:p w14:paraId="320A5FAA" w14:textId="2517194D" w:rsidR="001D489E" w:rsidRPr="00B048D7" w:rsidRDefault="001D489E" w:rsidP="002A2E28">
      <w:pPr>
        <w:jc w:val="both"/>
        <w:rPr>
          <w:rFonts w:ascii="Arial" w:hAnsi="Arial" w:cs="Arial"/>
          <w:i/>
          <w:iCs/>
          <w:sz w:val="22"/>
          <w:szCs w:val="22"/>
          <w:lang w:val="es-CO"/>
        </w:rPr>
      </w:pPr>
    </w:p>
    <w:p w14:paraId="055F1CB0" w14:textId="77777777" w:rsidR="001D489E" w:rsidRPr="00B048D7" w:rsidRDefault="001D489E" w:rsidP="002A2E28">
      <w:pPr>
        <w:jc w:val="both"/>
        <w:rPr>
          <w:rFonts w:ascii="Arial" w:hAnsi="Arial" w:cs="Arial"/>
          <w:sz w:val="22"/>
          <w:szCs w:val="22"/>
          <w:lang w:val="es-CO"/>
        </w:rPr>
      </w:pPr>
    </w:p>
    <w:p w14:paraId="059792B2" w14:textId="04267ACB" w:rsidR="0056326F" w:rsidRDefault="007B5F3B" w:rsidP="002A2E28">
      <w:pPr>
        <w:autoSpaceDE w:val="0"/>
        <w:autoSpaceDN w:val="0"/>
        <w:adjustRightInd w:val="0"/>
        <w:jc w:val="both"/>
        <w:rPr>
          <w:rFonts w:ascii="Arial" w:eastAsia="Times New Roman" w:hAnsi="Arial" w:cs="Arial"/>
          <w:sz w:val="22"/>
          <w:szCs w:val="22"/>
          <w:lang w:val="es-CO" w:eastAsia="es-ES_tradnl"/>
        </w:rPr>
      </w:pPr>
      <w:r w:rsidRPr="00B048D7">
        <w:rPr>
          <w:rFonts w:ascii="Arial" w:eastAsia="Times New Roman" w:hAnsi="Arial" w:cs="Arial"/>
          <w:b/>
          <w:bCs/>
          <w:sz w:val="22"/>
          <w:szCs w:val="22"/>
          <w:lang w:val="es-CO" w:eastAsia="es-ES_tradnl"/>
        </w:rPr>
        <w:t>QUINTA</w:t>
      </w:r>
      <w:r w:rsidR="006F5C66" w:rsidRPr="00B048D7">
        <w:rPr>
          <w:rFonts w:ascii="Arial" w:eastAsia="Times New Roman" w:hAnsi="Arial" w:cs="Arial"/>
          <w:b/>
          <w:bCs/>
          <w:sz w:val="22"/>
          <w:szCs w:val="22"/>
          <w:lang w:val="es-CO" w:eastAsia="es-ES_tradnl"/>
        </w:rPr>
        <w:t>:</w:t>
      </w:r>
      <w:r w:rsidR="006F5C66" w:rsidRPr="00B048D7">
        <w:rPr>
          <w:rFonts w:ascii="Arial" w:hAnsi="Arial" w:cs="Arial"/>
          <w:color w:val="1F497D"/>
          <w:sz w:val="22"/>
          <w:szCs w:val="22"/>
          <w:shd w:val="clear" w:color="auto" w:fill="FFFFFF"/>
          <w:lang w:val="es-CO"/>
        </w:rPr>
        <w:t xml:space="preserve"> </w:t>
      </w:r>
      <w:r w:rsidR="00E163D4" w:rsidRPr="00B048D7">
        <w:rPr>
          <w:rFonts w:ascii="Arial" w:eastAsia="Times New Roman" w:hAnsi="Arial" w:cs="Arial"/>
          <w:sz w:val="22"/>
          <w:szCs w:val="22"/>
          <w:lang w:val="es-CO" w:eastAsia="es-ES_tradnl"/>
        </w:rPr>
        <w:t xml:space="preserve">Se modifica el </w:t>
      </w:r>
      <w:r w:rsidR="00CC508A" w:rsidRPr="00B048D7">
        <w:rPr>
          <w:rFonts w:ascii="Arial" w:eastAsia="Times New Roman" w:hAnsi="Arial" w:cs="Arial"/>
          <w:b/>
          <w:bCs/>
          <w:sz w:val="22"/>
          <w:szCs w:val="22"/>
          <w:lang w:val="es-CO" w:eastAsia="es-ES_tradnl"/>
        </w:rPr>
        <w:t>FORMATO NRO. 4.1. CONDICIONES SEGURO DE VIDA GRUPO DEUDORES</w:t>
      </w:r>
      <w:r w:rsidR="0056326F" w:rsidRPr="00B048D7">
        <w:rPr>
          <w:rFonts w:ascii="Arial" w:eastAsia="Times New Roman" w:hAnsi="Arial" w:cs="Arial"/>
          <w:b/>
          <w:bCs/>
          <w:sz w:val="22"/>
          <w:szCs w:val="22"/>
          <w:lang w:val="es-CO" w:eastAsia="es-ES_tradnl"/>
        </w:rPr>
        <w:t xml:space="preserve">, </w:t>
      </w:r>
      <w:r w:rsidR="0056326F" w:rsidRPr="00B048D7">
        <w:rPr>
          <w:rFonts w:ascii="Arial" w:eastAsia="Times New Roman" w:hAnsi="Arial" w:cs="Arial"/>
          <w:sz w:val="22"/>
          <w:szCs w:val="22"/>
          <w:lang w:val="es-CO" w:eastAsia="es-ES_tradnl"/>
        </w:rPr>
        <w:t xml:space="preserve">en </w:t>
      </w:r>
      <w:r w:rsidR="00F507D0" w:rsidRPr="00B048D7">
        <w:rPr>
          <w:rFonts w:ascii="Arial" w:eastAsia="Times New Roman" w:hAnsi="Arial" w:cs="Arial"/>
          <w:sz w:val="22"/>
          <w:szCs w:val="22"/>
          <w:lang w:val="es-CO" w:eastAsia="es-ES_tradnl"/>
        </w:rPr>
        <w:t xml:space="preserve">el ítem coberturas; en Incapacidad total y permanente quedando así: </w:t>
      </w:r>
    </w:p>
    <w:p w14:paraId="17D0E3D8" w14:textId="77777777" w:rsidR="00B048D7" w:rsidRPr="00B048D7" w:rsidRDefault="00B048D7" w:rsidP="002A2E28">
      <w:pPr>
        <w:autoSpaceDE w:val="0"/>
        <w:autoSpaceDN w:val="0"/>
        <w:adjustRightInd w:val="0"/>
        <w:jc w:val="both"/>
        <w:rPr>
          <w:rFonts w:ascii="Arial" w:eastAsia="Times New Roman" w:hAnsi="Arial" w:cs="Arial"/>
          <w:sz w:val="22"/>
          <w:szCs w:val="22"/>
          <w:lang w:val="es-CO" w:eastAsia="es-ES_tradnl"/>
        </w:rPr>
      </w:pPr>
    </w:p>
    <w:p w14:paraId="2EB678D8" w14:textId="77777777" w:rsidR="00F507D0" w:rsidRPr="00B048D7" w:rsidRDefault="00F507D0" w:rsidP="00F507D0">
      <w:pPr>
        <w:autoSpaceDE w:val="0"/>
        <w:autoSpaceDN w:val="0"/>
        <w:adjustRightInd w:val="0"/>
        <w:jc w:val="both"/>
        <w:rPr>
          <w:rFonts w:ascii="Arial" w:eastAsia="Times New Roman" w:hAnsi="Arial" w:cs="Arial"/>
          <w:i/>
          <w:iCs/>
          <w:sz w:val="22"/>
          <w:szCs w:val="22"/>
          <w:lang w:val="es-CO" w:eastAsia="es-ES_tradnl"/>
        </w:rPr>
      </w:pPr>
      <w:r w:rsidRPr="00B048D7">
        <w:rPr>
          <w:rFonts w:ascii="Arial" w:eastAsia="Times New Roman" w:hAnsi="Arial" w:cs="Arial"/>
          <w:b/>
          <w:bCs/>
          <w:i/>
          <w:iCs/>
          <w:sz w:val="22"/>
          <w:szCs w:val="22"/>
          <w:lang w:val="es-CO" w:eastAsia="es-ES_tradnl"/>
        </w:rPr>
        <w:t>Incapacidad total y permanente</w:t>
      </w:r>
      <w:r w:rsidRPr="00B048D7">
        <w:rPr>
          <w:rFonts w:ascii="Arial" w:eastAsia="Times New Roman" w:hAnsi="Arial" w:cs="Arial"/>
          <w:i/>
          <w:iCs/>
          <w:sz w:val="22"/>
          <w:szCs w:val="22"/>
          <w:lang w:val="es-CO" w:eastAsia="es-ES_tradnl"/>
        </w:rPr>
        <w:t xml:space="preserve">: La invalidez será la pérdida de capacidad laboral igual o mayor al cincuenta por ciento (50%) de acuerdo con los criterios establecidos en el manual único de calificación de invalidez vigente al momento de la calificación, la cual deberá ser certificada por los organismos legalmente habilitados para tal efecto. </w:t>
      </w:r>
    </w:p>
    <w:p w14:paraId="2946B051" w14:textId="77777777" w:rsidR="00F507D0" w:rsidRPr="00B048D7" w:rsidRDefault="00F507D0" w:rsidP="00F507D0">
      <w:pPr>
        <w:autoSpaceDE w:val="0"/>
        <w:autoSpaceDN w:val="0"/>
        <w:adjustRightInd w:val="0"/>
        <w:jc w:val="both"/>
        <w:rPr>
          <w:rFonts w:ascii="Arial" w:eastAsia="Times New Roman" w:hAnsi="Arial" w:cs="Arial"/>
          <w:i/>
          <w:iCs/>
          <w:sz w:val="22"/>
          <w:szCs w:val="22"/>
          <w:lang w:val="es-CO" w:eastAsia="es-ES_tradnl"/>
        </w:rPr>
      </w:pPr>
    </w:p>
    <w:p w14:paraId="17E6CF99" w14:textId="77777777" w:rsidR="00F507D0" w:rsidRPr="00B048D7" w:rsidRDefault="00F507D0" w:rsidP="00F507D0">
      <w:pPr>
        <w:autoSpaceDE w:val="0"/>
        <w:autoSpaceDN w:val="0"/>
        <w:adjustRightInd w:val="0"/>
        <w:jc w:val="both"/>
        <w:rPr>
          <w:rFonts w:ascii="Arial" w:eastAsia="Times New Roman" w:hAnsi="Arial" w:cs="Arial"/>
          <w:i/>
          <w:iCs/>
          <w:sz w:val="22"/>
          <w:szCs w:val="22"/>
          <w:lang w:val="es-CO" w:eastAsia="es-ES_tradnl"/>
        </w:rPr>
      </w:pPr>
      <w:r w:rsidRPr="00B048D7">
        <w:rPr>
          <w:rFonts w:ascii="Arial" w:eastAsia="Times New Roman" w:hAnsi="Arial" w:cs="Arial"/>
          <w:i/>
          <w:iCs/>
          <w:sz w:val="22"/>
          <w:szCs w:val="22"/>
          <w:lang w:val="es-CO" w:eastAsia="es-ES_tradnl"/>
        </w:rPr>
        <w:lastRenderedPageBreak/>
        <w:t>El valor de la indemnización por este amparo se calculará con base en la suma asegurada vigente a la fecha de estructuración de la Incapacidad Total y Permanente</w:t>
      </w:r>
    </w:p>
    <w:p w14:paraId="0CB6CE97" w14:textId="77777777" w:rsidR="00F507D0" w:rsidRPr="00B048D7" w:rsidRDefault="00F507D0" w:rsidP="00F507D0">
      <w:pPr>
        <w:autoSpaceDE w:val="0"/>
        <w:autoSpaceDN w:val="0"/>
        <w:adjustRightInd w:val="0"/>
        <w:jc w:val="both"/>
        <w:rPr>
          <w:rFonts w:ascii="Arial" w:eastAsia="Times New Roman" w:hAnsi="Arial" w:cs="Arial"/>
          <w:i/>
          <w:iCs/>
          <w:sz w:val="22"/>
          <w:szCs w:val="22"/>
          <w:lang w:val="es-CO" w:eastAsia="es-ES_tradnl"/>
        </w:rPr>
      </w:pPr>
    </w:p>
    <w:p w14:paraId="5C203E8F" w14:textId="77777777" w:rsidR="00F507D0" w:rsidRPr="00B048D7" w:rsidRDefault="00F507D0" w:rsidP="00F507D0">
      <w:pPr>
        <w:autoSpaceDE w:val="0"/>
        <w:autoSpaceDN w:val="0"/>
        <w:adjustRightInd w:val="0"/>
        <w:jc w:val="both"/>
        <w:rPr>
          <w:rFonts w:ascii="Arial" w:eastAsia="Times New Roman" w:hAnsi="Arial" w:cs="Arial"/>
          <w:i/>
          <w:iCs/>
          <w:sz w:val="22"/>
          <w:szCs w:val="22"/>
          <w:lang w:val="es-CO" w:eastAsia="es-ES_tradnl"/>
        </w:rPr>
      </w:pPr>
      <w:r w:rsidRPr="00B048D7">
        <w:rPr>
          <w:rFonts w:ascii="Arial" w:eastAsia="Times New Roman" w:hAnsi="Arial" w:cs="Arial"/>
          <w:i/>
          <w:iCs/>
          <w:sz w:val="22"/>
          <w:szCs w:val="22"/>
          <w:lang w:val="es-CO" w:eastAsia="es-ES_tradnl"/>
        </w:rPr>
        <w:t xml:space="preserve">La cobertura incluye tentativa de suicidio y homicidio, lesiones que hayan sido provocadas por el asegurado en sí mismo estando o no en uso de sus facultades mentales. Así mismo incluye invalidez, desmembración o inutilización derivada o relacionada con enfermedades transmisibles, epidemias o pandemias, VIH positivo o SIDA, desde el momento mismo en que se inicia la cobertura individual para cada asegurado. </w:t>
      </w:r>
    </w:p>
    <w:p w14:paraId="5C0CEDA2" w14:textId="77777777" w:rsidR="00F507D0" w:rsidRPr="00B048D7" w:rsidRDefault="00F507D0" w:rsidP="00F507D0">
      <w:pPr>
        <w:autoSpaceDE w:val="0"/>
        <w:autoSpaceDN w:val="0"/>
        <w:adjustRightInd w:val="0"/>
        <w:jc w:val="both"/>
        <w:rPr>
          <w:rFonts w:ascii="Arial" w:eastAsia="Times New Roman" w:hAnsi="Arial" w:cs="Arial"/>
          <w:i/>
          <w:iCs/>
          <w:sz w:val="22"/>
          <w:szCs w:val="22"/>
          <w:lang w:val="es-CO" w:eastAsia="es-ES_tradnl"/>
        </w:rPr>
      </w:pPr>
    </w:p>
    <w:p w14:paraId="0695E969" w14:textId="28FB84B1" w:rsidR="0056326F" w:rsidRPr="00B048D7" w:rsidRDefault="00F507D0" w:rsidP="00F507D0">
      <w:pPr>
        <w:autoSpaceDE w:val="0"/>
        <w:autoSpaceDN w:val="0"/>
        <w:adjustRightInd w:val="0"/>
        <w:jc w:val="both"/>
        <w:rPr>
          <w:rFonts w:ascii="Arial" w:eastAsia="Times New Roman" w:hAnsi="Arial" w:cs="Arial"/>
          <w:i/>
          <w:iCs/>
          <w:sz w:val="22"/>
          <w:szCs w:val="22"/>
          <w:lang w:val="es-CO" w:eastAsia="es-ES_tradnl"/>
        </w:rPr>
      </w:pPr>
      <w:r w:rsidRPr="00B048D7">
        <w:rPr>
          <w:rFonts w:ascii="Arial" w:eastAsia="Times New Roman" w:hAnsi="Arial" w:cs="Arial"/>
          <w:i/>
          <w:iCs/>
          <w:sz w:val="22"/>
          <w:szCs w:val="22"/>
          <w:lang w:val="es-CO" w:eastAsia="es-ES_tradnl"/>
        </w:rPr>
        <w:t>Una vez pagada la suma asegurada por incapacidad total y permanente el seguro termina para el asegurado indemnizado quedando la aseguradora liberada de toda obligación frente al contrato de seguro con dicho asegurado</w:t>
      </w:r>
      <w:r w:rsidR="00FD2045" w:rsidRPr="00B048D7">
        <w:rPr>
          <w:rFonts w:ascii="Arial" w:eastAsia="Times New Roman" w:hAnsi="Arial" w:cs="Arial"/>
          <w:i/>
          <w:iCs/>
          <w:sz w:val="22"/>
          <w:szCs w:val="22"/>
          <w:lang w:val="es-CO" w:eastAsia="es-ES_tradnl"/>
        </w:rPr>
        <w:t>.</w:t>
      </w:r>
    </w:p>
    <w:p w14:paraId="665915B9" w14:textId="77777777" w:rsidR="00784669" w:rsidRPr="00B048D7" w:rsidRDefault="00784669" w:rsidP="002A2E28">
      <w:pPr>
        <w:pStyle w:val="Prrafodelista"/>
        <w:autoSpaceDE w:val="0"/>
        <w:autoSpaceDN w:val="0"/>
        <w:adjustRightInd w:val="0"/>
        <w:ind w:left="0"/>
        <w:jc w:val="both"/>
        <w:rPr>
          <w:rFonts w:ascii="Arial" w:eastAsia="Times New Roman" w:hAnsi="Arial" w:cs="Arial"/>
          <w:i/>
          <w:iCs/>
          <w:sz w:val="22"/>
          <w:szCs w:val="22"/>
          <w:lang w:val="es-CO" w:eastAsia="es-ES_tradnl"/>
        </w:rPr>
      </w:pPr>
    </w:p>
    <w:p w14:paraId="3859D0A5" w14:textId="3EE4943D" w:rsidR="00784669" w:rsidRPr="00B048D7" w:rsidRDefault="00784669" w:rsidP="002A2E28">
      <w:pPr>
        <w:autoSpaceDE w:val="0"/>
        <w:autoSpaceDN w:val="0"/>
        <w:adjustRightInd w:val="0"/>
        <w:jc w:val="both"/>
        <w:rPr>
          <w:rFonts w:ascii="Arial" w:eastAsia="Times New Roman" w:hAnsi="Arial" w:cs="Arial"/>
          <w:i/>
          <w:iCs/>
          <w:sz w:val="22"/>
          <w:szCs w:val="22"/>
          <w:lang w:val="es-CO" w:eastAsia="es-ES_tradnl"/>
        </w:rPr>
      </w:pPr>
      <w:r w:rsidRPr="00B048D7">
        <w:rPr>
          <w:rFonts w:ascii="Arial" w:hAnsi="Arial" w:cs="Arial"/>
          <w:i/>
          <w:iCs/>
          <w:color w:val="000000"/>
          <w:sz w:val="22"/>
          <w:szCs w:val="22"/>
          <w:lang w:val="es-CO" w:eastAsia="es-CO"/>
        </w:rPr>
        <w:t xml:space="preserve">Se adjunta a esta Adenda el </w:t>
      </w:r>
      <w:r w:rsidR="00FD2045" w:rsidRPr="00B048D7">
        <w:rPr>
          <w:rFonts w:ascii="Arial" w:hAnsi="Arial" w:cs="Arial"/>
          <w:i/>
          <w:iCs/>
          <w:color w:val="000000"/>
          <w:sz w:val="22"/>
          <w:szCs w:val="22"/>
          <w:lang w:val="es-CO" w:eastAsia="es-CO"/>
        </w:rPr>
        <w:t>FORMATO NRO. 4.1. CONDICIONES SEGURO DE VIDA GRUPO DEUDORES.</w:t>
      </w:r>
    </w:p>
    <w:p w14:paraId="665EBC54" w14:textId="5B6BD933" w:rsidR="00041F19" w:rsidRPr="00B048D7" w:rsidRDefault="00041F19" w:rsidP="002A2E28">
      <w:pPr>
        <w:pStyle w:val="Prrafodelista"/>
        <w:jc w:val="both"/>
        <w:rPr>
          <w:rFonts w:ascii="Arial" w:hAnsi="Arial" w:cs="Arial"/>
          <w:sz w:val="22"/>
          <w:szCs w:val="22"/>
          <w:lang w:val="es-CO"/>
        </w:rPr>
      </w:pPr>
    </w:p>
    <w:sectPr w:rsidR="00041F19" w:rsidRPr="00B048D7">
      <w:headerReference w:type="default" r:id="rId9"/>
      <w:pgSz w:w="12240" w:h="15840"/>
      <w:pgMar w:top="1440" w:right="1800" w:bottom="1440" w:left="1800" w:header="283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35F27" w14:textId="77777777" w:rsidR="00C705E9" w:rsidRDefault="00C705E9">
      <w:r>
        <w:separator/>
      </w:r>
    </w:p>
  </w:endnote>
  <w:endnote w:type="continuationSeparator" w:id="0">
    <w:p w14:paraId="3A4FDCC2" w14:textId="77777777" w:rsidR="00C705E9" w:rsidRDefault="00C70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9B2AC" w14:textId="77777777" w:rsidR="00C705E9" w:rsidRDefault="00C705E9">
      <w:r>
        <w:separator/>
      </w:r>
    </w:p>
  </w:footnote>
  <w:footnote w:type="continuationSeparator" w:id="0">
    <w:p w14:paraId="26010E4E" w14:textId="77777777" w:rsidR="00C705E9" w:rsidRDefault="00C705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332A4" w14:textId="77777777" w:rsidR="001A5CFF" w:rsidRDefault="001258CD">
    <w:pPr>
      <w:pBdr>
        <w:top w:val="nil"/>
        <w:left w:val="nil"/>
        <w:bottom w:val="nil"/>
        <w:right w:val="nil"/>
        <w:between w:val="nil"/>
      </w:pBdr>
      <w:tabs>
        <w:tab w:val="center" w:pos="4153"/>
        <w:tab w:val="right" w:pos="8306"/>
      </w:tabs>
    </w:pPr>
    <w:r>
      <w:rPr>
        <w:noProof/>
      </w:rPr>
      <w:drawing>
        <wp:anchor distT="114300" distB="114300" distL="114300" distR="114300" simplePos="0" relativeHeight="251658240" behindDoc="1" locked="0" layoutInCell="1" hidden="0" allowOverlap="1" wp14:anchorId="5B60D92B" wp14:editId="2D783990">
          <wp:simplePos x="0" y="0"/>
          <wp:positionH relativeFrom="column">
            <wp:posOffset>-1142999</wp:posOffset>
          </wp:positionH>
          <wp:positionV relativeFrom="paragraph">
            <wp:posOffset>-1685699</wp:posOffset>
          </wp:positionV>
          <wp:extent cx="7777163" cy="10034436"/>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777163" cy="10034436"/>
                  </a:xfrm>
                  <a:prstGeom prst="rect">
                    <a:avLst/>
                  </a:prstGeom>
                  <a:ln/>
                </pic:spPr>
              </pic:pic>
            </a:graphicData>
          </a:graphic>
        </wp:anchor>
      </w:drawing>
    </w:r>
  </w:p>
  <w:p w14:paraId="66FA710D" w14:textId="77777777" w:rsidR="001A5CFF" w:rsidRDefault="001A5CFF">
    <w:pPr>
      <w:pBdr>
        <w:top w:val="nil"/>
        <w:left w:val="nil"/>
        <w:bottom w:val="nil"/>
        <w:right w:val="nil"/>
        <w:between w:val="nil"/>
      </w:pBdr>
      <w:tabs>
        <w:tab w:val="center" w:pos="4153"/>
        <w:tab w:val="right" w:pos="83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5434E"/>
    <w:multiLevelType w:val="multilevel"/>
    <w:tmpl w:val="EF927750"/>
    <w:lvl w:ilvl="0">
      <w:start w:val="20"/>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8811B24"/>
    <w:multiLevelType w:val="multilevel"/>
    <w:tmpl w:val="0250F7E2"/>
    <w:lvl w:ilvl="0">
      <w:start w:val="1"/>
      <w:numFmt w:val="decimal"/>
      <w:lvlText w:val="%1."/>
      <w:lvlJc w:val="left"/>
      <w:pPr>
        <w:ind w:left="644" w:hanging="360"/>
      </w:pPr>
      <w:rPr>
        <w:rFonts w:hint="default"/>
        <w:b/>
        <w:bCs/>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293F1B02"/>
    <w:multiLevelType w:val="hybridMultilevel"/>
    <w:tmpl w:val="AF168362"/>
    <w:lvl w:ilvl="0" w:tplc="240A0019">
      <w:start w:val="4"/>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 w15:restartNumberingAfterBreak="0">
    <w:nsid w:val="3B735C95"/>
    <w:multiLevelType w:val="multilevel"/>
    <w:tmpl w:val="0A166B90"/>
    <w:lvl w:ilvl="0">
      <w:start w:val="20"/>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40EA09ED"/>
    <w:multiLevelType w:val="multilevel"/>
    <w:tmpl w:val="78B65DC0"/>
    <w:lvl w:ilvl="0">
      <w:start w:val="20"/>
      <w:numFmt w:val="decimal"/>
      <w:lvlText w:val="%1"/>
      <w:lvlJc w:val="left"/>
      <w:pPr>
        <w:ind w:left="540" w:hanging="540"/>
      </w:pPr>
      <w:rPr>
        <w:rFonts w:hint="default"/>
      </w:rPr>
    </w:lvl>
    <w:lvl w:ilvl="1">
      <w:start w:val="2"/>
      <w:numFmt w:val="decimal"/>
      <w:lvlText w:val="%1.%2"/>
      <w:lvlJc w:val="left"/>
      <w:pPr>
        <w:ind w:left="810" w:hanging="540"/>
      </w:pPr>
      <w:rPr>
        <w:rFonts w:hint="default"/>
      </w:rPr>
    </w:lvl>
    <w:lvl w:ilvl="2">
      <w:start w:val="4"/>
      <w:numFmt w:val="decimal"/>
      <w:lvlText w:val="%1.%2.%3"/>
      <w:lvlJc w:val="left"/>
      <w:pPr>
        <w:ind w:left="1260" w:hanging="720"/>
      </w:pPr>
      <w:rPr>
        <w:rFonts w:hint="default"/>
        <w:b/>
        <w:bCs/>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5" w15:restartNumberingAfterBreak="0">
    <w:nsid w:val="56816495"/>
    <w:multiLevelType w:val="hybridMultilevel"/>
    <w:tmpl w:val="948A0866"/>
    <w:lvl w:ilvl="0" w:tplc="C0CCD90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56955FB4"/>
    <w:multiLevelType w:val="hybridMultilevel"/>
    <w:tmpl w:val="A232DBF8"/>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C8E3057"/>
    <w:multiLevelType w:val="hybridMultilevel"/>
    <w:tmpl w:val="E0ACE3EA"/>
    <w:lvl w:ilvl="0" w:tplc="0F989718">
      <w:start w:val="2"/>
      <w:numFmt w:val="lowerLetter"/>
      <w:lvlText w:val="%1."/>
      <w:lvlJc w:val="left"/>
      <w:pPr>
        <w:ind w:left="720" w:hanging="360"/>
      </w:pPr>
      <w:rPr>
        <w:rFonts w:hint="default"/>
        <w:color w:val="000000"/>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747025344">
    <w:abstractNumId w:val="5"/>
  </w:num>
  <w:num w:numId="2" w16cid:durableId="1253052649">
    <w:abstractNumId w:val="2"/>
  </w:num>
  <w:num w:numId="3" w16cid:durableId="1865361231">
    <w:abstractNumId w:val="6"/>
  </w:num>
  <w:num w:numId="4" w16cid:durableId="1159691058">
    <w:abstractNumId w:val="7"/>
  </w:num>
  <w:num w:numId="5" w16cid:durableId="341202228">
    <w:abstractNumId w:val="1"/>
  </w:num>
  <w:num w:numId="6" w16cid:durableId="1361122225">
    <w:abstractNumId w:val="0"/>
  </w:num>
  <w:num w:numId="7" w16cid:durableId="1912277237">
    <w:abstractNumId w:val="3"/>
  </w:num>
  <w:num w:numId="8" w16cid:durableId="18726447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CFF"/>
    <w:rsid w:val="000228D0"/>
    <w:rsid w:val="00041F19"/>
    <w:rsid w:val="00050DB2"/>
    <w:rsid w:val="00094564"/>
    <w:rsid w:val="00122F6E"/>
    <w:rsid w:val="001258CD"/>
    <w:rsid w:val="001357A7"/>
    <w:rsid w:val="001A5CFF"/>
    <w:rsid w:val="001C000E"/>
    <w:rsid w:val="001D489E"/>
    <w:rsid w:val="00250295"/>
    <w:rsid w:val="00265F63"/>
    <w:rsid w:val="002A2E28"/>
    <w:rsid w:val="00316216"/>
    <w:rsid w:val="00366ED8"/>
    <w:rsid w:val="00441C64"/>
    <w:rsid w:val="004435A2"/>
    <w:rsid w:val="004A7CFF"/>
    <w:rsid w:val="004B2589"/>
    <w:rsid w:val="004D5A98"/>
    <w:rsid w:val="004E19BD"/>
    <w:rsid w:val="0051403C"/>
    <w:rsid w:val="00530E6F"/>
    <w:rsid w:val="00533C7E"/>
    <w:rsid w:val="0056326F"/>
    <w:rsid w:val="00646A11"/>
    <w:rsid w:val="00681133"/>
    <w:rsid w:val="006F5C66"/>
    <w:rsid w:val="00741437"/>
    <w:rsid w:val="00784669"/>
    <w:rsid w:val="00786107"/>
    <w:rsid w:val="007B5F3B"/>
    <w:rsid w:val="007F374F"/>
    <w:rsid w:val="00815722"/>
    <w:rsid w:val="00824FD2"/>
    <w:rsid w:val="008A39C6"/>
    <w:rsid w:val="008D502B"/>
    <w:rsid w:val="008E644C"/>
    <w:rsid w:val="00984281"/>
    <w:rsid w:val="009F1C70"/>
    <w:rsid w:val="00A92963"/>
    <w:rsid w:val="00B03EEA"/>
    <w:rsid w:val="00B04792"/>
    <w:rsid w:val="00B048D7"/>
    <w:rsid w:val="00B3635C"/>
    <w:rsid w:val="00B54842"/>
    <w:rsid w:val="00C6604E"/>
    <w:rsid w:val="00C705E9"/>
    <w:rsid w:val="00C72B0F"/>
    <w:rsid w:val="00CC508A"/>
    <w:rsid w:val="00D21B8D"/>
    <w:rsid w:val="00DF1065"/>
    <w:rsid w:val="00E05D1D"/>
    <w:rsid w:val="00E163D4"/>
    <w:rsid w:val="00E42C1F"/>
    <w:rsid w:val="00E860E5"/>
    <w:rsid w:val="00EC44BD"/>
    <w:rsid w:val="00F507D0"/>
    <w:rsid w:val="00F91B0D"/>
    <w:rsid w:val="00FC0626"/>
    <w:rsid w:val="00FD2045"/>
    <w:rsid w:val="00FF06A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4BB8E6"/>
  <w15:docId w15:val="{B0D1DE01-BA4B-4EAE-A0A4-071D1A860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EastAsia" w:hAnsiTheme="minorHAnsi" w:cstheme="minorBidi"/>
      <w:lang w:eastAsia="zh-CN"/>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pPr>
      <w:tabs>
        <w:tab w:val="center" w:pos="4153"/>
        <w:tab w:val="right" w:pos="8306"/>
      </w:tabs>
    </w:pPr>
  </w:style>
  <w:style w:type="paragraph" w:styleId="Piedepgina">
    <w:name w:val="footer"/>
    <w:basedOn w:val="Normal"/>
    <w:pPr>
      <w:tabs>
        <w:tab w:val="center" w:pos="4153"/>
        <w:tab w:val="right" w:pos="8306"/>
      </w:tabs>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E42C1F"/>
    <w:pPr>
      <w:spacing w:after="225"/>
    </w:pPr>
    <w:rPr>
      <w:rFonts w:ascii="Times New Roman" w:eastAsia="Times New Roman" w:hAnsi="Times New Roman" w:cs="Times New Roman"/>
      <w:sz w:val="24"/>
      <w:szCs w:val="24"/>
      <w:lang w:val="es-CO" w:eastAsia="es-CO"/>
    </w:rPr>
  </w:style>
  <w:style w:type="paragraph" w:styleId="Sinespaciado">
    <w:name w:val="No Spacing"/>
    <w:uiPriority w:val="1"/>
    <w:qFormat/>
    <w:rsid w:val="00E42C1F"/>
    <w:pPr>
      <w:suppressAutoHyphens/>
    </w:pPr>
    <w:rPr>
      <w:rFonts w:ascii="Times New Roman" w:eastAsia="Times New Roman" w:hAnsi="Times New Roman" w:cs="Times New Roman"/>
      <w:lang w:val="es-ES" w:eastAsia="ar-SA"/>
    </w:rPr>
  </w:style>
  <w:style w:type="paragraph" w:customStyle="1" w:styleId="Textosinformato1">
    <w:name w:val="Texto sin formato1"/>
    <w:basedOn w:val="Normal"/>
    <w:rsid w:val="00E42C1F"/>
    <w:pPr>
      <w:suppressAutoHyphens/>
    </w:pPr>
    <w:rPr>
      <w:rFonts w:ascii="Courier New" w:eastAsia="Times New Roman" w:hAnsi="Courier New" w:cs="Times New Roman"/>
      <w:lang w:val="es-ES" w:eastAsia="en-US"/>
    </w:rPr>
  </w:style>
  <w:style w:type="paragraph" w:styleId="Prrafodelista">
    <w:name w:val="List Paragraph"/>
    <w:aliases w:val="Titulo 7,HOJA,Bolita,Párrafo de lista1,Párrafo de lista4,BOLADEF,Párrafo de lista21,BOLA,Nivel 1 OS,Colorful List Accent 1,Colorful List - Accent 11,Segundo nivel de viñetas,List Paragraph1"/>
    <w:basedOn w:val="Normal"/>
    <w:link w:val="PrrafodelistaCar"/>
    <w:uiPriority w:val="34"/>
    <w:qFormat/>
    <w:rsid w:val="0051403C"/>
    <w:pPr>
      <w:ind w:left="720"/>
      <w:contextualSpacing/>
    </w:pPr>
  </w:style>
  <w:style w:type="paragraph" w:customStyle="1" w:styleId="Default">
    <w:name w:val="Default"/>
    <w:rsid w:val="006F5C66"/>
    <w:pPr>
      <w:autoSpaceDE w:val="0"/>
      <w:autoSpaceDN w:val="0"/>
      <w:adjustRightInd w:val="0"/>
    </w:pPr>
    <w:rPr>
      <w:rFonts w:ascii="Arial" w:eastAsiaTheme="minorHAnsi" w:hAnsi="Arial" w:cs="Arial"/>
      <w:color w:val="000000"/>
      <w:sz w:val="24"/>
      <w:szCs w:val="24"/>
      <w:lang w:val="es-CO" w:eastAsia="en-US"/>
    </w:rPr>
  </w:style>
  <w:style w:type="character" w:customStyle="1" w:styleId="PrrafodelistaCar">
    <w:name w:val="Párrafo de lista Car"/>
    <w:aliases w:val="Titulo 7 Car,HOJA Car,Bolita Car,Párrafo de lista1 Car,Párrafo de lista4 Car,BOLADEF Car,Párrafo de lista21 Car,BOLA Car,Nivel 1 OS Car,Colorful List Accent 1 Car,Colorful List - Accent 11 Car,Segundo nivel de viñetas Car"/>
    <w:link w:val="Prrafodelista"/>
    <w:uiPriority w:val="34"/>
    <w:rsid w:val="006F5C66"/>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703216">
      <w:bodyDiv w:val="1"/>
      <w:marLeft w:val="0"/>
      <w:marRight w:val="0"/>
      <w:marTop w:val="0"/>
      <w:marBottom w:val="0"/>
      <w:divBdr>
        <w:top w:val="none" w:sz="0" w:space="0" w:color="auto"/>
        <w:left w:val="none" w:sz="0" w:space="0" w:color="auto"/>
        <w:bottom w:val="none" w:sz="0" w:space="0" w:color="auto"/>
        <w:right w:val="none" w:sz="0" w:space="0" w:color="auto"/>
      </w:divBdr>
      <w:divsChild>
        <w:div w:id="719477726">
          <w:marLeft w:val="0"/>
          <w:marRight w:val="0"/>
          <w:marTop w:val="0"/>
          <w:marBottom w:val="0"/>
          <w:divBdr>
            <w:top w:val="none" w:sz="0" w:space="0" w:color="auto"/>
            <w:left w:val="none" w:sz="0" w:space="0" w:color="auto"/>
            <w:bottom w:val="none" w:sz="0" w:space="0" w:color="auto"/>
            <w:right w:val="none" w:sz="0" w:space="0" w:color="auto"/>
          </w:divBdr>
        </w:div>
        <w:div w:id="2099522648">
          <w:marLeft w:val="0"/>
          <w:marRight w:val="0"/>
          <w:marTop w:val="0"/>
          <w:marBottom w:val="0"/>
          <w:divBdr>
            <w:top w:val="none" w:sz="0" w:space="0" w:color="auto"/>
            <w:left w:val="none" w:sz="0" w:space="0" w:color="auto"/>
            <w:bottom w:val="none" w:sz="0" w:space="0" w:color="auto"/>
            <w:right w:val="none" w:sz="0" w:space="0" w:color="auto"/>
          </w:divBdr>
        </w:div>
        <w:div w:id="1326083176">
          <w:marLeft w:val="0"/>
          <w:marRight w:val="0"/>
          <w:marTop w:val="0"/>
          <w:marBottom w:val="0"/>
          <w:divBdr>
            <w:top w:val="none" w:sz="0" w:space="0" w:color="auto"/>
            <w:left w:val="none" w:sz="0" w:space="0" w:color="auto"/>
            <w:bottom w:val="none" w:sz="0" w:space="0" w:color="auto"/>
            <w:right w:val="none" w:sz="0" w:space="0" w:color="auto"/>
          </w:divBdr>
        </w:div>
        <w:div w:id="1833718201">
          <w:marLeft w:val="0"/>
          <w:marRight w:val="0"/>
          <w:marTop w:val="0"/>
          <w:marBottom w:val="0"/>
          <w:divBdr>
            <w:top w:val="none" w:sz="0" w:space="0" w:color="auto"/>
            <w:left w:val="none" w:sz="0" w:space="0" w:color="auto"/>
            <w:bottom w:val="none" w:sz="0" w:space="0" w:color="auto"/>
            <w:right w:val="none" w:sz="0" w:space="0" w:color="auto"/>
          </w:divBdr>
        </w:div>
        <w:div w:id="1485732872">
          <w:marLeft w:val="0"/>
          <w:marRight w:val="0"/>
          <w:marTop w:val="0"/>
          <w:marBottom w:val="0"/>
          <w:divBdr>
            <w:top w:val="none" w:sz="0" w:space="0" w:color="auto"/>
            <w:left w:val="none" w:sz="0" w:space="0" w:color="auto"/>
            <w:bottom w:val="none" w:sz="0" w:space="0" w:color="auto"/>
            <w:right w:val="none" w:sz="0" w:space="0" w:color="auto"/>
          </w:divBdr>
        </w:div>
        <w:div w:id="1685743251">
          <w:marLeft w:val="0"/>
          <w:marRight w:val="0"/>
          <w:marTop w:val="0"/>
          <w:marBottom w:val="0"/>
          <w:divBdr>
            <w:top w:val="none" w:sz="0" w:space="0" w:color="auto"/>
            <w:left w:val="none" w:sz="0" w:space="0" w:color="auto"/>
            <w:bottom w:val="none" w:sz="0" w:space="0" w:color="auto"/>
            <w:right w:val="none" w:sz="0" w:space="0" w:color="auto"/>
          </w:divBdr>
        </w:div>
        <w:div w:id="1949268108">
          <w:blockQuote w:val="1"/>
          <w:marLeft w:val="600"/>
          <w:marRight w:val="0"/>
          <w:marTop w:val="0"/>
          <w:marBottom w:val="0"/>
          <w:divBdr>
            <w:top w:val="none" w:sz="0" w:space="0" w:color="auto"/>
            <w:left w:val="none" w:sz="0" w:space="0" w:color="auto"/>
            <w:bottom w:val="none" w:sz="0" w:space="0" w:color="auto"/>
            <w:right w:val="none" w:sz="0" w:space="0" w:color="auto"/>
          </w:divBdr>
          <w:divsChild>
            <w:div w:id="1710227537">
              <w:blockQuote w:val="1"/>
              <w:marLeft w:val="600"/>
              <w:marRight w:val="0"/>
              <w:marTop w:val="0"/>
              <w:marBottom w:val="0"/>
              <w:divBdr>
                <w:top w:val="none" w:sz="0" w:space="0" w:color="auto"/>
                <w:left w:val="none" w:sz="0" w:space="0" w:color="auto"/>
                <w:bottom w:val="none" w:sz="0" w:space="0" w:color="auto"/>
                <w:right w:val="none" w:sz="0" w:space="0" w:color="auto"/>
              </w:divBdr>
              <w:divsChild>
                <w:div w:id="899169864">
                  <w:marLeft w:val="0"/>
                  <w:marRight w:val="0"/>
                  <w:marTop w:val="0"/>
                  <w:marBottom w:val="0"/>
                  <w:divBdr>
                    <w:top w:val="none" w:sz="0" w:space="0" w:color="auto"/>
                    <w:left w:val="none" w:sz="0" w:space="0" w:color="auto"/>
                    <w:bottom w:val="none" w:sz="0" w:space="0" w:color="auto"/>
                    <w:right w:val="none" w:sz="0" w:space="0" w:color="auto"/>
                  </w:divBdr>
                </w:div>
              </w:divsChild>
            </w:div>
            <w:div w:id="1552230787">
              <w:blockQuote w:val="1"/>
              <w:marLeft w:val="600"/>
              <w:marRight w:val="0"/>
              <w:marTop w:val="0"/>
              <w:marBottom w:val="0"/>
              <w:divBdr>
                <w:top w:val="none" w:sz="0" w:space="0" w:color="auto"/>
                <w:left w:val="none" w:sz="0" w:space="0" w:color="auto"/>
                <w:bottom w:val="none" w:sz="0" w:space="0" w:color="auto"/>
                <w:right w:val="none" w:sz="0" w:space="0" w:color="auto"/>
              </w:divBdr>
              <w:divsChild>
                <w:div w:id="956524397">
                  <w:marLeft w:val="0"/>
                  <w:marRight w:val="0"/>
                  <w:marTop w:val="0"/>
                  <w:marBottom w:val="0"/>
                  <w:divBdr>
                    <w:top w:val="none" w:sz="0" w:space="0" w:color="auto"/>
                    <w:left w:val="none" w:sz="0" w:space="0" w:color="auto"/>
                    <w:bottom w:val="none" w:sz="0" w:space="0" w:color="auto"/>
                    <w:right w:val="none" w:sz="0" w:space="0" w:color="auto"/>
                  </w:divBdr>
                </w:div>
              </w:divsChild>
            </w:div>
            <w:div w:id="1608468373">
              <w:blockQuote w:val="1"/>
              <w:marLeft w:val="600"/>
              <w:marRight w:val="0"/>
              <w:marTop w:val="0"/>
              <w:marBottom w:val="0"/>
              <w:divBdr>
                <w:top w:val="none" w:sz="0" w:space="0" w:color="auto"/>
                <w:left w:val="none" w:sz="0" w:space="0" w:color="auto"/>
                <w:bottom w:val="none" w:sz="0" w:space="0" w:color="auto"/>
                <w:right w:val="none" w:sz="0" w:space="0" w:color="auto"/>
              </w:divBdr>
              <w:divsChild>
                <w:div w:id="239366651">
                  <w:marLeft w:val="0"/>
                  <w:marRight w:val="0"/>
                  <w:marTop w:val="0"/>
                  <w:marBottom w:val="0"/>
                  <w:divBdr>
                    <w:top w:val="none" w:sz="0" w:space="0" w:color="auto"/>
                    <w:left w:val="none" w:sz="0" w:space="0" w:color="auto"/>
                    <w:bottom w:val="none" w:sz="0" w:space="0" w:color="auto"/>
                    <w:right w:val="none" w:sz="0" w:space="0" w:color="auto"/>
                  </w:divBdr>
                </w:div>
              </w:divsChild>
            </w:div>
            <w:div w:id="42104580">
              <w:blockQuote w:val="1"/>
              <w:marLeft w:val="600"/>
              <w:marRight w:val="0"/>
              <w:marTop w:val="0"/>
              <w:marBottom w:val="0"/>
              <w:divBdr>
                <w:top w:val="none" w:sz="0" w:space="0" w:color="auto"/>
                <w:left w:val="none" w:sz="0" w:space="0" w:color="auto"/>
                <w:bottom w:val="none" w:sz="0" w:space="0" w:color="auto"/>
                <w:right w:val="none" w:sz="0" w:space="0" w:color="auto"/>
              </w:divBdr>
              <w:divsChild>
                <w:div w:id="888299877">
                  <w:marLeft w:val="0"/>
                  <w:marRight w:val="0"/>
                  <w:marTop w:val="0"/>
                  <w:marBottom w:val="0"/>
                  <w:divBdr>
                    <w:top w:val="none" w:sz="0" w:space="0" w:color="auto"/>
                    <w:left w:val="none" w:sz="0" w:space="0" w:color="auto"/>
                    <w:bottom w:val="none" w:sz="0" w:space="0" w:color="auto"/>
                    <w:right w:val="none" w:sz="0" w:space="0" w:color="auto"/>
                  </w:divBdr>
                </w:div>
              </w:divsChild>
            </w:div>
            <w:div w:id="2121410207">
              <w:blockQuote w:val="1"/>
              <w:marLeft w:val="600"/>
              <w:marRight w:val="0"/>
              <w:marTop w:val="0"/>
              <w:marBottom w:val="0"/>
              <w:divBdr>
                <w:top w:val="none" w:sz="0" w:space="0" w:color="auto"/>
                <w:left w:val="none" w:sz="0" w:space="0" w:color="auto"/>
                <w:bottom w:val="none" w:sz="0" w:space="0" w:color="auto"/>
                <w:right w:val="none" w:sz="0" w:space="0" w:color="auto"/>
              </w:divBdr>
              <w:divsChild>
                <w:div w:id="23361714">
                  <w:marLeft w:val="0"/>
                  <w:marRight w:val="0"/>
                  <w:marTop w:val="0"/>
                  <w:marBottom w:val="0"/>
                  <w:divBdr>
                    <w:top w:val="none" w:sz="0" w:space="0" w:color="auto"/>
                    <w:left w:val="none" w:sz="0" w:space="0" w:color="auto"/>
                    <w:bottom w:val="none" w:sz="0" w:space="0" w:color="auto"/>
                    <w:right w:val="none" w:sz="0" w:space="0" w:color="auto"/>
                  </w:divBdr>
                </w:div>
              </w:divsChild>
            </w:div>
            <w:div w:id="1239289439">
              <w:blockQuote w:val="1"/>
              <w:marLeft w:val="600"/>
              <w:marRight w:val="0"/>
              <w:marTop w:val="0"/>
              <w:marBottom w:val="0"/>
              <w:divBdr>
                <w:top w:val="none" w:sz="0" w:space="0" w:color="auto"/>
                <w:left w:val="none" w:sz="0" w:space="0" w:color="auto"/>
                <w:bottom w:val="none" w:sz="0" w:space="0" w:color="auto"/>
                <w:right w:val="none" w:sz="0" w:space="0" w:color="auto"/>
              </w:divBdr>
              <w:divsChild>
                <w:div w:id="995231746">
                  <w:marLeft w:val="0"/>
                  <w:marRight w:val="0"/>
                  <w:marTop w:val="0"/>
                  <w:marBottom w:val="0"/>
                  <w:divBdr>
                    <w:top w:val="none" w:sz="0" w:space="0" w:color="auto"/>
                    <w:left w:val="none" w:sz="0" w:space="0" w:color="auto"/>
                    <w:bottom w:val="none" w:sz="0" w:space="0" w:color="auto"/>
                    <w:right w:val="none" w:sz="0" w:space="0" w:color="auto"/>
                  </w:divBdr>
                </w:div>
              </w:divsChild>
            </w:div>
            <w:div w:id="986324613">
              <w:blockQuote w:val="1"/>
              <w:marLeft w:val="600"/>
              <w:marRight w:val="0"/>
              <w:marTop w:val="0"/>
              <w:marBottom w:val="0"/>
              <w:divBdr>
                <w:top w:val="none" w:sz="0" w:space="0" w:color="auto"/>
                <w:left w:val="none" w:sz="0" w:space="0" w:color="auto"/>
                <w:bottom w:val="none" w:sz="0" w:space="0" w:color="auto"/>
                <w:right w:val="none" w:sz="0" w:space="0" w:color="auto"/>
              </w:divBdr>
              <w:divsChild>
                <w:div w:id="1303341709">
                  <w:marLeft w:val="0"/>
                  <w:marRight w:val="0"/>
                  <w:marTop w:val="0"/>
                  <w:marBottom w:val="0"/>
                  <w:divBdr>
                    <w:top w:val="none" w:sz="0" w:space="0" w:color="auto"/>
                    <w:left w:val="none" w:sz="0" w:space="0" w:color="auto"/>
                    <w:bottom w:val="none" w:sz="0" w:space="0" w:color="auto"/>
                    <w:right w:val="none" w:sz="0" w:space="0" w:color="auto"/>
                  </w:divBdr>
                </w:div>
              </w:divsChild>
            </w:div>
            <w:div w:id="1496339067">
              <w:blockQuote w:val="1"/>
              <w:marLeft w:val="600"/>
              <w:marRight w:val="0"/>
              <w:marTop w:val="0"/>
              <w:marBottom w:val="0"/>
              <w:divBdr>
                <w:top w:val="none" w:sz="0" w:space="0" w:color="auto"/>
                <w:left w:val="none" w:sz="0" w:space="0" w:color="auto"/>
                <w:bottom w:val="none" w:sz="0" w:space="0" w:color="auto"/>
                <w:right w:val="none" w:sz="0" w:space="0" w:color="auto"/>
              </w:divBdr>
              <w:divsChild>
                <w:div w:id="1686402565">
                  <w:marLeft w:val="0"/>
                  <w:marRight w:val="0"/>
                  <w:marTop w:val="0"/>
                  <w:marBottom w:val="0"/>
                  <w:divBdr>
                    <w:top w:val="none" w:sz="0" w:space="0" w:color="auto"/>
                    <w:left w:val="none" w:sz="0" w:space="0" w:color="auto"/>
                    <w:bottom w:val="none" w:sz="0" w:space="0" w:color="auto"/>
                    <w:right w:val="none" w:sz="0" w:space="0" w:color="auto"/>
                  </w:divBdr>
                </w:div>
              </w:divsChild>
            </w:div>
            <w:div w:id="959456588">
              <w:blockQuote w:val="1"/>
              <w:marLeft w:val="600"/>
              <w:marRight w:val="0"/>
              <w:marTop w:val="0"/>
              <w:marBottom w:val="0"/>
              <w:divBdr>
                <w:top w:val="none" w:sz="0" w:space="0" w:color="auto"/>
                <w:left w:val="none" w:sz="0" w:space="0" w:color="auto"/>
                <w:bottom w:val="none" w:sz="0" w:space="0" w:color="auto"/>
                <w:right w:val="none" w:sz="0" w:space="0" w:color="auto"/>
              </w:divBdr>
              <w:divsChild>
                <w:div w:id="174175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6375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MXR1V33O1+uSraYgwUJ2NElmH6g==">AMUW2mWyc/wo++YIaLeC2AZiZfoqe3T4VlWahsVeJutJbYbEVwoVW/oj5YJwEmQquzaaje63NCAXP3twZicSJq8ctYc92WxQlGy/0MOwhit6YAdZ7KKgZb6GPEThzt3CC/ilFN9h6jbz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4</Pages>
  <Words>1032</Words>
  <Characters>5680</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Alejandro Amado</dc:creator>
  <cp:lastModifiedBy>Gladys Omaira Cardona López</cp:lastModifiedBy>
  <cp:revision>8</cp:revision>
  <dcterms:created xsi:type="dcterms:W3CDTF">2026-10-19T17:15:00Z</dcterms:created>
  <dcterms:modified xsi:type="dcterms:W3CDTF">2026-10-19T21:29:00Z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2058-11.2.0.10382</vt:lpwstr>
  </property>
  <property fmtid="{D5CDD505-2E9C-101B-9397-08002B2CF9AE}" pid="3" name="ICV">
    <vt:lpwstr>FFF1992D871A402D9C72BFAC8F156E17</vt:lpwstr>
  </property>
</Properties>
</file>